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28FC" w14:textId="32DDF6E7" w:rsidR="00207706" w:rsidRPr="00D0040D" w:rsidRDefault="002C077C" w:rsidP="00D0040D">
      <w:pPr>
        <w:pStyle w:val="Heading1"/>
      </w:pPr>
      <w:r w:rsidRPr="00D0040D">
        <w:t xml:space="preserve">Fair Value </w:t>
      </w:r>
      <w:r w:rsidR="00A83C5B">
        <w:t xml:space="preserve">Impact </w:t>
      </w:r>
      <w:r w:rsidRPr="00D0040D">
        <w:t xml:space="preserve">Assessment – </w:t>
      </w:r>
      <w:r w:rsidR="43E9E588">
        <w:t>Premium Finance Distribution</w:t>
      </w:r>
    </w:p>
    <w:p w14:paraId="2AF6FD64" w14:textId="77777777" w:rsidR="00D0040D" w:rsidRDefault="00D0040D" w:rsidP="00F3363E">
      <w:pPr>
        <w:spacing w:after="0"/>
        <w:jc w:val="center"/>
        <w:rPr>
          <w:sz w:val="16"/>
          <w:szCs w:val="16"/>
        </w:rPr>
      </w:pPr>
    </w:p>
    <w:p w14:paraId="70F130BB" w14:textId="09E888D3" w:rsidR="00040445" w:rsidRPr="00D0040D" w:rsidRDefault="00D0040D" w:rsidP="00D0040D">
      <w:pPr>
        <w:spacing w:after="0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Guidance Note: </w:t>
      </w:r>
      <w:r w:rsidR="00040445" w:rsidRPr="00D0040D">
        <w:rPr>
          <w:color w:val="FF0000"/>
          <w:sz w:val="16"/>
          <w:szCs w:val="16"/>
        </w:rPr>
        <w:t>Firm’s need to consider in what format this assessment is completed for each product, group of products</w:t>
      </w:r>
      <w:r w:rsidR="00F3363E" w:rsidRPr="00D0040D">
        <w:rPr>
          <w:color w:val="FF0000"/>
          <w:sz w:val="16"/>
          <w:szCs w:val="16"/>
        </w:rPr>
        <w:t xml:space="preserve"> to ensure easy analysis of the dat</w:t>
      </w:r>
      <w:r w:rsidR="00295227" w:rsidRPr="00D0040D">
        <w:rPr>
          <w:color w:val="FF0000"/>
          <w:sz w:val="16"/>
          <w:szCs w:val="16"/>
        </w:rPr>
        <w:t>a</w:t>
      </w:r>
      <w:r w:rsidR="00F3363E" w:rsidRPr="00D0040D">
        <w:rPr>
          <w:color w:val="FF0000"/>
          <w:sz w:val="16"/>
          <w:szCs w:val="16"/>
        </w:rPr>
        <w:t xml:space="preserve"> received. </w:t>
      </w:r>
    </w:p>
    <w:p w14:paraId="2D8C3F3F" w14:textId="77777777" w:rsidR="00D0040D" w:rsidRDefault="00D0040D" w:rsidP="00D0040D">
      <w:pPr>
        <w:spacing w:after="0"/>
      </w:pPr>
    </w:p>
    <w:p w14:paraId="02ACAAB3" w14:textId="154739EA" w:rsidR="002C077C" w:rsidRDefault="006A332B">
      <w:r>
        <w:t xml:space="preserve">This document is part of </w:t>
      </w:r>
      <w:r w:rsidR="00BA5F18" w:rsidRPr="00BA5F18">
        <w:rPr>
          <w:highlight w:val="yellow"/>
        </w:rPr>
        <w:t>[name of firm]</w:t>
      </w:r>
      <w:r w:rsidR="00DE15D6">
        <w:t>’s</w:t>
      </w:r>
      <w:r w:rsidR="00BA5F18">
        <w:t xml:space="preserve"> </w:t>
      </w:r>
      <w:r>
        <w:t xml:space="preserve">Product Governance Framework and fulfils our regulatory requirement to undertake reviews of our product distribution arrangements at least once every 12 months for the products we distribute. </w:t>
      </w:r>
      <w:r w:rsidR="00040445">
        <w:t xml:space="preserve"> Where we are acting as </w:t>
      </w:r>
      <w:r w:rsidR="004E0759">
        <w:t>m</w:t>
      </w:r>
      <w:r w:rsidR="00F3363E">
        <w:t>anufacturer,</w:t>
      </w:r>
      <w:r w:rsidR="00040445">
        <w:t xml:space="preserve"> we will have wider obligations for which this assessment is not appropriate. </w:t>
      </w:r>
    </w:p>
    <w:p w14:paraId="715577F5" w14:textId="7EAD72F8" w:rsidR="00CD6662" w:rsidRDefault="002C077C">
      <w:r>
        <w:t xml:space="preserve">We are required to establish whether the relationship between the overall price of the product to the customer and the quality of the </w:t>
      </w:r>
      <w:r w:rsidR="00B13BA9">
        <w:t>product</w:t>
      </w:r>
      <w:r>
        <w:t xml:space="preserve"> and services provided is fair.  This requires us to consider our own actions and those of any other firms in the distribution chain between us and the customer. </w:t>
      </w:r>
    </w:p>
    <w:p w14:paraId="2DF10B2A" w14:textId="02980DB0" w:rsidR="00552439" w:rsidRDefault="00552439">
      <w:r>
        <w:t xml:space="preserve">When taking into account the </w:t>
      </w:r>
      <w:r>
        <w:t xml:space="preserve">following </w:t>
      </w:r>
      <w:r>
        <w:t xml:space="preserve">areas of consideration the distribution of this product still provides fair value to the customer as assessed by the manufacturer.  </w:t>
      </w:r>
    </w:p>
    <w:tbl>
      <w:tblPr>
        <w:tblStyle w:val="TableGrid"/>
        <w:tblW w:w="1402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57"/>
        <w:gridCol w:w="9072"/>
      </w:tblGrid>
      <w:tr w:rsidR="00CD6662" w14:paraId="1DD4D9B3" w14:textId="77777777" w:rsidTr="004E0759">
        <w:tc>
          <w:tcPr>
            <w:tcW w:w="4957" w:type="dxa"/>
          </w:tcPr>
          <w:p w14:paraId="69E6A865" w14:textId="46DEDDEB" w:rsidR="00BA5F18" w:rsidRDefault="366A120A" w:rsidP="00E4657C">
            <w:pPr>
              <w:spacing w:before="120" w:after="120"/>
              <w:rPr>
                <w:b/>
                <w:bCs/>
              </w:rPr>
            </w:pPr>
            <w:r w:rsidRPr="366A120A">
              <w:rPr>
                <w:b/>
                <w:bCs/>
              </w:rPr>
              <w:t xml:space="preserve">Product Type </w:t>
            </w:r>
          </w:p>
        </w:tc>
        <w:tc>
          <w:tcPr>
            <w:tcW w:w="9072" w:type="dxa"/>
          </w:tcPr>
          <w:p w14:paraId="66E943A4" w14:textId="441698E0" w:rsidR="00CD6662" w:rsidRDefault="366A120A" w:rsidP="00E4657C">
            <w:pPr>
              <w:spacing w:before="120" w:after="120"/>
            </w:pPr>
            <w:r>
              <w:t xml:space="preserve">Premium Finance.  </w:t>
            </w:r>
          </w:p>
        </w:tc>
      </w:tr>
      <w:tr w:rsidR="00CD6662" w14:paraId="0AC4A45D" w14:textId="5BC39122" w:rsidTr="004E0759">
        <w:tc>
          <w:tcPr>
            <w:tcW w:w="4957" w:type="dxa"/>
          </w:tcPr>
          <w:p w14:paraId="50F1492E" w14:textId="77777777" w:rsidR="00BA5F18" w:rsidRDefault="00CD6662" w:rsidP="00E4657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Product Name</w:t>
            </w:r>
            <w:r w:rsidR="00BA5F18">
              <w:rPr>
                <w:b/>
                <w:bCs/>
              </w:rPr>
              <w:t xml:space="preserve"> </w:t>
            </w:r>
          </w:p>
          <w:p w14:paraId="1547BAD5" w14:textId="1FE721D8" w:rsidR="00BA5F18" w:rsidRPr="00BA5F18" w:rsidRDefault="366A120A" w:rsidP="00E4657C">
            <w:pPr>
              <w:spacing w:before="120" w:after="120"/>
              <w:rPr>
                <w:color w:val="0070C0"/>
                <w:sz w:val="18"/>
                <w:szCs w:val="18"/>
              </w:rPr>
            </w:pPr>
            <w:r w:rsidRPr="366A120A">
              <w:rPr>
                <w:b/>
                <w:bCs/>
                <w:color w:val="0070C0"/>
                <w:sz w:val="18"/>
                <w:szCs w:val="18"/>
              </w:rPr>
              <w:t>[If provider specific]</w:t>
            </w:r>
          </w:p>
        </w:tc>
        <w:tc>
          <w:tcPr>
            <w:tcW w:w="9072" w:type="dxa"/>
          </w:tcPr>
          <w:p w14:paraId="78A3AD6C" w14:textId="45F09462" w:rsidR="00CD6662" w:rsidRDefault="00CD6662" w:rsidP="00E4657C">
            <w:pPr>
              <w:spacing w:before="120" w:after="120"/>
            </w:pPr>
          </w:p>
        </w:tc>
      </w:tr>
      <w:tr w:rsidR="00CD6662" w14:paraId="491277D1" w14:textId="3A4113E7" w:rsidTr="004E0759">
        <w:tc>
          <w:tcPr>
            <w:tcW w:w="4957" w:type="dxa"/>
          </w:tcPr>
          <w:p w14:paraId="34E22953" w14:textId="22D9C192" w:rsidR="00BA5F18" w:rsidRPr="00BA5F18" w:rsidRDefault="366A120A" w:rsidP="00E4657C">
            <w:pPr>
              <w:spacing w:before="120" w:after="120" w:line="259" w:lineRule="auto"/>
              <w:rPr>
                <w:b/>
                <w:bCs/>
                <w:color w:val="0070C0"/>
                <w:sz w:val="18"/>
                <w:szCs w:val="18"/>
              </w:rPr>
            </w:pPr>
            <w:r w:rsidRPr="366A120A">
              <w:rPr>
                <w:b/>
                <w:bCs/>
              </w:rPr>
              <w:t xml:space="preserve">Providers (Manufacturer) </w:t>
            </w:r>
          </w:p>
        </w:tc>
        <w:tc>
          <w:tcPr>
            <w:tcW w:w="9072" w:type="dxa"/>
          </w:tcPr>
          <w:p w14:paraId="6DA54E92" w14:textId="50BDDD69" w:rsidR="00CD6662" w:rsidRDefault="00CD6662" w:rsidP="00E4657C">
            <w:pPr>
              <w:spacing w:before="120" w:after="120"/>
            </w:pPr>
          </w:p>
        </w:tc>
      </w:tr>
      <w:tr w:rsidR="00CD6662" w14:paraId="2508FD6E" w14:textId="77777777" w:rsidTr="004E0759">
        <w:tc>
          <w:tcPr>
            <w:tcW w:w="4957" w:type="dxa"/>
          </w:tcPr>
          <w:p w14:paraId="1E8627E8" w14:textId="580B8CAC" w:rsidR="00CD6662" w:rsidRPr="00CD6662" w:rsidRDefault="00CD6662" w:rsidP="00E4657C">
            <w:pPr>
              <w:spacing w:before="120" w:after="120"/>
              <w:rPr>
                <w:b/>
              </w:rPr>
            </w:pPr>
            <w:r w:rsidRPr="00CD6662">
              <w:rPr>
                <w:b/>
              </w:rPr>
              <w:t>Distribution Strategy</w:t>
            </w:r>
          </w:p>
        </w:tc>
        <w:tc>
          <w:tcPr>
            <w:tcW w:w="9072" w:type="dxa"/>
          </w:tcPr>
          <w:p w14:paraId="5340EF9F" w14:textId="4FAE1F6D" w:rsidR="00076525" w:rsidRDefault="00CD6662" w:rsidP="00E4657C">
            <w:pPr>
              <w:spacing w:before="120" w:after="120"/>
            </w:pPr>
            <w:r>
              <w:t xml:space="preserve">Direct to client </w:t>
            </w:r>
            <w:r w:rsidR="00076525">
              <w:t xml:space="preserve">from </w:t>
            </w:r>
            <w:r w:rsidR="00076525" w:rsidRPr="00076525">
              <w:rPr>
                <w:highlight w:val="yellow"/>
              </w:rPr>
              <w:t>[name of firm]</w:t>
            </w:r>
            <w:r>
              <w:t xml:space="preserve"> (intermediated); through a sub broker, through an A</w:t>
            </w:r>
            <w:r w:rsidR="00076525">
              <w:t>ppointed Representative, through a p</w:t>
            </w:r>
            <w:r w:rsidR="00C928D9">
              <w:t>roperty</w:t>
            </w:r>
            <w:r w:rsidR="00076525">
              <w:t xml:space="preserve"> managing agent, v</w:t>
            </w:r>
            <w:r>
              <w:t xml:space="preserve">ia a website. </w:t>
            </w:r>
          </w:p>
          <w:p w14:paraId="1BB5B5B7" w14:textId="247E5944" w:rsidR="00DE15D6" w:rsidRDefault="00CD6662" w:rsidP="00E4657C">
            <w:pPr>
              <w:spacing w:before="120" w:after="120"/>
            </w:pPr>
            <w:r>
              <w:t xml:space="preserve">Include all those in the distribution chain between the firm as distributor and the customer who is part to the contract of insurance. </w:t>
            </w:r>
          </w:p>
        </w:tc>
      </w:tr>
    </w:tbl>
    <w:p w14:paraId="25A49007" w14:textId="77777777" w:rsidR="00D0040D" w:rsidRDefault="00D0040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957"/>
        <w:gridCol w:w="4059"/>
        <w:gridCol w:w="5013"/>
      </w:tblGrid>
      <w:tr w:rsidR="00D0040D" w14:paraId="37EAE043" w14:textId="77777777" w:rsidTr="00552439">
        <w:trPr>
          <w:cantSplit/>
          <w:tblHeader/>
        </w:trPr>
        <w:tc>
          <w:tcPr>
            <w:tcW w:w="4957" w:type="dxa"/>
            <w:shd w:val="clear" w:color="auto" w:fill="BFBFBF" w:themeFill="background1" w:themeFillShade="BF"/>
          </w:tcPr>
          <w:p w14:paraId="1D814E47" w14:textId="0B1655D5" w:rsidR="00D0040D" w:rsidRPr="00AA3618" w:rsidRDefault="00D0040D" w:rsidP="00E4657C">
            <w:pPr>
              <w:spacing w:before="120" w:after="120"/>
            </w:pPr>
            <w:r w:rsidRPr="00D0040D">
              <w:rPr>
                <w:b/>
                <w:bCs/>
              </w:rPr>
              <w:lastRenderedPageBreak/>
              <w:t>Area of consideration</w:t>
            </w:r>
          </w:p>
        </w:tc>
        <w:tc>
          <w:tcPr>
            <w:tcW w:w="4059" w:type="dxa"/>
            <w:shd w:val="clear" w:color="auto" w:fill="BFBFBF" w:themeFill="background1" w:themeFillShade="BF"/>
          </w:tcPr>
          <w:p w14:paraId="04A4BFA1" w14:textId="3DDFD2B5" w:rsidR="00D0040D" w:rsidRPr="008E1B0C" w:rsidRDefault="008E1B0C" w:rsidP="00E4657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5013" w:type="dxa"/>
            <w:shd w:val="clear" w:color="auto" w:fill="BFBFBF" w:themeFill="background1" w:themeFillShade="BF"/>
          </w:tcPr>
          <w:p w14:paraId="3F58420E" w14:textId="10F4374F" w:rsidR="00D0040D" w:rsidRPr="008E1B0C" w:rsidRDefault="008E1B0C" w:rsidP="00E4657C">
            <w:pPr>
              <w:spacing w:before="120" w:after="120"/>
              <w:rPr>
                <w:b/>
                <w:bCs/>
              </w:rPr>
            </w:pPr>
            <w:r w:rsidRPr="008E1B0C">
              <w:rPr>
                <w:b/>
                <w:bCs/>
              </w:rPr>
              <w:t>Comment/rational</w:t>
            </w:r>
            <w:r>
              <w:rPr>
                <w:b/>
                <w:bCs/>
              </w:rPr>
              <w:t>e</w:t>
            </w:r>
          </w:p>
        </w:tc>
      </w:tr>
      <w:tr w:rsidR="00B13BA9" w14:paraId="6B9BB56F" w14:textId="79C42614" w:rsidTr="00552439">
        <w:trPr>
          <w:cantSplit/>
        </w:trPr>
        <w:tc>
          <w:tcPr>
            <w:tcW w:w="4957" w:type="dxa"/>
          </w:tcPr>
          <w:p w14:paraId="2C907DF7" w14:textId="7FB29CE0" w:rsidR="00B13BA9" w:rsidRPr="00AA3618" w:rsidRDefault="67289E2C" w:rsidP="00E4657C">
            <w:pPr>
              <w:spacing w:before="120" w:after="120"/>
            </w:pPr>
            <w:r>
              <w:t>We have received and understand the manufacturers fair value assessments/target market statement for this product type.</w:t>
            </w:r>
          </w:p>
          <w:p w14:paraId="648B6231" w14:textId="7B3FC7A8" w:rsidR="008A584F" w:rsidRDefault="67289E2C" w:rsidP="00E4657C">
            <w:pPr>
              <w:spacing w:before="120" w:after="120"/>
            </w:pPr>
            <w:r w:rsidRPr="67289E2C">
              <w:rPr>
                <w:b/>
                <w:bCs/>
                <w:color w:val="0070C0"/>
                <w:sz w:val="18"/>
                <w:szCs w:val="18"/>
              </w:rPr>
              <w:t>[We must have received and understood the assessments from each of the providers listed above]</w:t>
            </w:r>
          </w:p>
        </w:tc>
        <w:tc>
          <w:tcPr>
            <w:tcW w:w="4059" w:type="dxa"/>
          </w:tcPr>
          <w:p w14:paraId="5242E6C3" w14:textId="14A073E3" w:rsidR="00B13BA9" w:rsidRPr="004E0759" w:rsidRDefault="004E0759" w:rsidP="00E4657C">
            <w:pPr>
              <w:spacing w:before="120" w:after="120"/>
            </w:pPr>
            <w:r>
              <w:rPr>
                <w:color w:val="FF0000"/>
              </w:rPr>
              <w:t>Example:</w:t>
            </w:r>
            <w:r>
              <w:rPr>
                <w:color w:val="FF0000"/>
              </w:rPr>
              <w:t xml:space="preserve"> </w:t>
            </w:r>
            <w:r>
              <w:t xml:space="preserve">We will only offer premium finance to customers within </w:t>
            </w:r>
            <w:r w:rsidR="0094531C">
              <w:t>the parameters defined by the provider.</w:t>
            </w:r>
          </w:p>
        </w:tc>
        <w:tc>
          <w:tcPr>
            <w:tcW w:w="5013" w:type="dxa"/>
          </w:tcPr>
          <w:p w14:paraId="74F5D4F5" w14:textId="1DB52806" w:rsidR="00A50428" w:rsidRDefault="00A50428" w:rsidP="00E4657C">
            <w:pPr>
              <w:spacing w:before="120" w:after="120"/>
            </w:pPr>
          </w:p>
        </w:tc>
      </w:tr>
      <w:tr w:rsidR="00552439" w14:paraId="5CAA7BA8" w14:textId="77777777" w:rsidTr="00552439">
        <w:trPr>
          <w:cantSplit/>
        </w:trPr>
        <w:tc>
          <w:tcPr>
            <w:tcW w:w="4957" w:type="dxa"/>
          </w:tcPr>
          <w:p w14:paraId="0D0C2BF8" w14:textId="27FBB449" w:rsidR="00552439" w:rsidRPr="00AA3618" w:rsidRDefault="00552439" w:rsidP="00552439">
            <w:pPr>
              <w:spacing w:before="120" w:after="120"/>
            </w:pPr>
            <w:r>
              <w:t>All relevant employees must receive training to ensure they have the appropriate knowledge and ability to fulfil our distribution activities.</w:t>
            </w:r>
          </w:p>
        </w:tc>
        <w:tc>
          <w:tcPr>
            <w:tcW w:w="4059" w:type="dxa"/>
          </w:tcPr>
          <w:p w14:paraId="26FF7022" w14:textId="561A409D" w:rsidR="00552439" w:rsidRDefault="00552439" w:rsidP="00552439">
            <w:pPr>
              <w:spacing w:before="120" w:after="120"/>
            </w:pPr>
            <w:r>
              <w:rPr>
                <w:color w:val="FF0000"/>
              </w:rPr>
              <w:t xml:space="preserve">Example: </w:t>
            </w:r>
            <w:r>
              <w:t xml:space="preserve">The training provided by the manufacturers </w:t>
            </w:r>
            <w:r>
              <w:t>sits alongside the training provided by our learning and development platform.</w:t>
            </w:r>
          </w:p>
        </w:tc>
        <w:tc>
          <w:tcPr>
            <w:tcW w:w="5013" w:type="dxa"/>
          </w:tcPr>
          <w:p w14:paraId="4BFF78AB" w14:textId="77777777" w:rsidR="00552439" w:rsidRDefault="00552439" w:rsidP="00552439">
            <w:r>
              <w:rPr>
                <w:color w:val="FF0000"/>
              </w:rPr>
              <w:t xml:space="preserve">Example: </w:t>
            </w:r>
            <w:r w:rsidRPr="00947640">
              <w:t>we require all relevant employees to be working towards a CII qualification</w:t>
            </w:r>
            <w:r>
              <w:t>.</w:t>
            </w:r>
          </w:p>
          <w:p w14:paraId="22C52046" w14:textId="77777777" w:rsidR="00552439" w:rsidRDefault="00552439" w:rsidP="00552439">
            <w:r w:rsidRPr="00947640">
              <w:rPr>
                <w:color w:val="FF0000"/>
              </w:rPr>
              <w:t>Example:</w:t>
            </w:r>
            <w:r>
              <w:rPr>
                <w:color w:val="FF0000"/>
              </w:rPr>
              <w:t xml:space="preserve"> </w:t>
            </w:r>
            <w:r>
              <w:t xml:space="preserve">We ensure all relevant employees are given the tools and time to meet the minimum number of CPD hours required. </w:t>
            </w:r>
          </w:p>
          <w:p w14:paraId="307D942E" w14:textId="7F73E356" w:rsidR="00552439" w:rsidRDefault="00552439" w:rsidP="00552439">
            <w:pPr>
              <w:spacing w:before="120" w:after="120" w:line="259" w:lineRule="auto"/>
            </w:pPr>
            <w:r w:rsidRPr="00947640">
              <w:rPr>
                <w:color w:val="FF0000"/>
              </w:rPr>
              <w:t>Example:</w:t>
            </w:r>
            <w:r>
              <w:t xml:space="preserve"> training is provided using a combination of methods including online learning, distance learning, face to face workshops and mentoring.</w:t>
            </w:r>
          </w:p>
        </w:tc>
      </w:tr>
      <w:tr w:rsidR="00B13BA9" w14:paraId="7821B4A9" w14:textId="561C9F9F" w:rsidTr="00552439">
        <w:trPr>
          <w:cantSplit/>
        </w:trPr>
        <w:tc>
          <w:tcPr>
            <w:tcW w:w="4957" w:type="dxa"/>
          </w:tcPr>
          <w:p w14:paraId="61C6647B" w14:textId="475F33D7" w:rsidR="009D7414" w:rsidRDefault="724B793D" w:rsidP="00E4657C">
            <w:pPr>
              <w:spacing w:before="120" w:after="120"/>
            </w:pPr>
            <w:r>
              <w:t>We do not charge an administration fee for arranging premium finance.</w:t>
            </w:r>
          </w:p>
        </w:tc>
        <w:tc>
          <w:tcPr>
            <w:tcW w:w="4059" w:type="dxa"/>
          </w:tcPr>
          <w:p w14:paraId="1309C044" w14:textId="2A54A921" w:rsidR="00B13BA9" w:rsidRDefault="00B13BA9" w:rsidP="00E4657C">
            <w:pPr>
              <w:spacing w:before="120" w:after="120"/>
            </w:pPr>
          </w:p>
        </w:tc>
        <w:tc>
          <w:tcPr>
            <w:tcW w:w="5013" w:type="dxa"/>
          </w:tcPr>
          <w:p w14:paraId="23246DC1" w14:textId="4E8E5BCD" w:rsidR="008E1B0C" w:rsidRDefault="724B793D" w:rsidP="00E4657C">
            <w:pPr>
              <w:spacing w:before="120" w:after="120" w:line="259" w:lineRule="auto"/>
              <w:rPr>
                <w:color w:val="FF0000"/>
              </w:rPr>
            </w:pPr>
            <w:r w:rsidRPr="724B793D">
              <w:rPr>
                <w:color w:val="FF0000"/>
              </w:rPr>
              <w:t xml:space="preserve">Guidance </w:t>
            </w:r>
            <w:proofErr w:type="gramStart"/>
            <w:r w:rsidR="00EB4ABD" w:rsidRPr="724B793D">
              <w:rPr>
                <w:color w:val="FF0000"/>
              </w:rPr>
              <w:t>note</w:t>
            </w:r>
            <w:proofErr w:type="gramEnd"/>
            <w:r w:rsidR="00EB4ABD">
              <w:rPr>
                <w:color w:val="FF0000"/>
              </w:rPr>
              <w:t>: A</w:t>
            </w:r>
            <w:r w:rsidRPr="724B793D">
              <w:rPr>
                <w:color w:val="FF0000"/>
              </w:rPr>
              <w:t xml:space="preserve">dditional regulatory requirements apply where a fee is charged specifically for arranging premium finance. </w:t>
            </w:r>
          </w:p>
        </w:tc>
      </w:tr>
      <w:tr w:rsidR="00B13BA9" w14:paraId="09B4E451" w14:textId="5891F348" w:rsidTr="00552439">
        <w:trPr>
          <w:cantSplit/>
        </w:trPr>
        <w:tc>
          <w:tcPr>
            <w:tcW w:w="4957" w:type="dxa"/>
          </w:tcPr>
          <w:p w14:paraId="25AE0861" w14:textId="27193F1B" w:rsidR="00A50428" w:rsidRDefault="00A50428" w:rsidP="00A50428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interest rate and APR applied to the loan. </w:t>
            </w:r>
          </w:p>
        </w:tc>
        <w:tc>
          <w:tcPr>
            <w:tcW w:w="4059" w:type="dxa"/>
          </w:tcPr>
          <w:p w14:paraId="20842CBC" w14:textId="1EE80D7E" w:rsidR="00B13BA9" w:rsidRDefault="00552439" w:rsidP="00E4657C">
            <w:pPr>
              <w:spacing w:before="120" w:after="120"/>
            </w:pPr>
            <w:r>
              <w:rPr>
                <w:rFonts w:ascii="Calibri" w:eastAsia="Calibri" w:hAnsi="Calibri" w:cs="Calibri"/>
                <w:color w:val="FF0000"/>
              </w:rPr>
              <w:t xml:space="preserve">Example: </w:t>
            </w:r>
            <w:r w:rsidR="00A50428" w:rsidRPr="43E9E588">
              <w:rPr>
                <w:rFonts w:ascii="Calibri" w:eastAsia="Calibri" w:hAnsi="Calibri" w:cs="Calibri"/>
              </w:rPr>
              <w:t xml:space="preserve">A matrix of rates at which premium finance is offered is utilised and the rate applicable to any </w:t>
            </w:r>
            <w:proofErr w:type="gramStart"/>
            <w:r w:rsidR="00A50428" w:rsidRPr="43E9E588">
              <w:rPr>
                <w:rFonts w:ascii="Calibri" w:eastAsia="Calibri" w:hAnsi="Calibri" w:cs="Calibri"/>
              </w:rPr>
              <w:t>particular customer</w:t>
            </w:r>
            <w:proofErr w:type="gramEnd"/>
            <w:r w:rsidR="00A50428" w:rsidRPr="43E9E588">
              <w:rPr>
                <w:rFonts w:ascii="Calibri" w:eastAsia="Calibri" w:hAnsi="Calibri" w:cs="Calibri"/>
              </w:rPr>
              <w:t xml:space="preserve"> depends on a number of factors including: the amount of premium being funded, the number of instalments and payment date of the premium to us so as to meet insurer payment terms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013" w:type="dxa"/>
          </w:tcPr>
          <w:p w14:paraId="722EF6C2" w14:textId="431E60EA" w:rsidR="00B13BA9" w:rsidRDefault="00B13BA9" w:rsidP="00E4657C">
            <w:pPr>
              <w:spacing w:before="120" w:after="120"/>
            </w:pPr>
          </w:p>
        </w:tc>
      </w:tr>
      <w:tr w:rsidR="00A50428" w14:paraId="1EFF8C3B" w14:textId="77777777" w:rsidTr="00552439">
        <w:trPr>
          <w:cantSplit/>
        </w:trPr>
        <w:tc>
          <w:tcPr>
            <w:tcW w:w="4957" w:type="dxa"/>
          </w:tcPr>
          <w:p w14:paraId="05577393" w14:textId="4687F734" w:rsidR="00A50428" w:rsidRPr="43E9E588" w:rsidDel="00A50428" w:rsidRDefault="00A50428" w:rsidP="00E4657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The level of discretionary commission applied to the loan. </w:t>
            </w:r>
          </w:p>
        </w:tc>
        <w:tc>
          <w:tcPr>
            <w:tcW w:w="4059" w:type="dxa"/>
          </w:tcPr>
          <w:p w14:paraId="06F98C5F" w14:textId="4A8CBC51" w:rsidR="00A50428" w:rsidRPr="43E9E588" w:rsidRDefault="00552439" w:rsidP="00E4657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Example: </w:t>
            </w:r>
            <w:r w:rsidR="00A50428">
              <w:rPr>
                <w:rFonts w:ascii="Calibri" w:eastAsia="Calibri" w:hAnsi="Calibri" w:cs="Calibri"/>
              </w:rPr>
              <w:t xml:space="preserve">The discretionary commission </w:t>
            </w:r>
            <w:r w:rsidR="00D622E0">
              <w:rPr>
                <w:rFonts w:ascii="Calibri" w:eastAsia="Calibri" w:hAnsi="Calibri" w:cs="Calibri"/>
              </w:rPr>
              <w:t xml:space="preserve">covers </w:t>
            </w:r>
            <w:r w:rsidR="00A50428">
              <w:rPr>
                <w:rFonts w:ascii="Calibri" w:eastAsia="Calibri" w:hAnsi="Calibri" w:cs="Calibri"/>
              </w:rPr>
              <w:t xml:space="preserve">the costs incurred in administering the loan, the additional training </w:t>
            </w:r>
            <w:r w:rsidR="00D622E0">
              <w:rPr>
                <w:rFonts w:ascii="Calibri" w:eastAsia="Calibri" w:hAnsi="Calibri" w:cs="Calibri"/>
              </w:rPr>
              <w:t xml:space="preserve">and regulatory requirements and includes an element of profit. </w:t>
            </w:r>
          </w:p>
        </w:tc>
        <w:tc>
          <w:tcPr>
            <w:tcW w:w="5013" w:type="dxa"/>
          </w:tcPr>
          <w:p w14:paraId="2E8AD44E" w14:textId="395221D0" w:rsidR="00A50428" w:rsidRDefault="00552439" w:rsidP="00E4657C">
            <w:pPr>
              <w:spacing w:before="120" w:after="120"/>
            </w:pPr>
            <w:r w:rsidRPr="00552439">
              <w:rPr>
                <w:color w:val="FF0000"/>
              </w:rPr>
              <w:t xml:space="preserve">Example: </w:t>
            </w:r>
            <w:r w:rsidR="00A50428">
              <w:t>The premium finance provider has sight of the discretionary commissions and by agreeing the loan implies the level does not have a detrimental impact on the</w:t>
            </w:r>
            <w:r w:rsidR="00D622E0">
              <w:t xml:space="preserve"> value of the </w:t>
            </w:r>
            <w:r w:rsidR="00A50428">
              <w:t xml:space="preserve">product. </w:t>
            </w:r>
          </w:p>
        </w:tc>
      </w:tr>
    </w:tbl>
    <w:p w14:paraId="536C1A7C" w14:textId="77777777" w:rsidR="00B13BA9" w:rsidRDefault="00B13BA9"/>
    <w:sectPr w:rsidR="00B13BA9" w:rsidSect="00C1057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7E34" w14:textId="77777777" w:rsidR="00A83C5B" w:rsidRDefault="00A83C5B" w:rsidP="00A83C5B">
      <w:pPr>
        <w:spacing w:after="0" w:line="240" w:lineRule="auto"/>
      </w:pPr>
      <w:r>
        <w:separator/>
      </w:r>
    </w:p>
  </w:endnote>
  <w:endnote w:type="continuationSeparator" w:id="0">
    <w:p w14:paraId="68F0D0C5" w14:textId="77777777" w:rsidR="00A83C5B" w:rsidRDefault="00A83C5B" w:rsidP="00A83C5B">
      <w:pPr>
        <w:spacing w:after="0" w:line="240" w:lineRule="auto"/>
      </w:pPr>
      <w:r>
        <w:continuationSeparator/>
      </w:r>
    </w:p>
  </w:endnote>
  <w:endnote w:type="continuationNotice" w:id="1">
    <w:p w14:paraId="1C1D8D73" w14:textId="77777777" w:rsidR="00706369" w:rsidRDefault="00706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27F" w14:textId="640C145D" w:rsidR="00A83C5B" w:rsidRDefault="00A83C5B">
    <w:pPr>
      <w:pStyle w:val="Footer"/>
    </w:pPr>
    <w:r w:rsidRPr="00A83C5B">
      <w:rPr>
        <w:color w:val="92D050"/>
      </w:rPr>
      <w:t xml:space="preserve">Produced by Cobra Network compliance for use by Cobra Network members </w:t>
    </w:r>
    <w:r>
      <w:t>-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AE06" w14:textId="77777777" w:rsidR="00A83C5B" w:rsidRDefault="00A83C5B" w:rsidP="00A83C5B">
      <w:pPr>
        <w:spacing w:after="0" w:line="240" w:lineRule="auto"/>
      </w:pPr>
      <w:r>
        <w:separator/>
      </w:r>
    </w:p>
  </w:footnote>
  <w:footnote w:type="continuationSeparator" w:id="0">
    <w:p w14:paraId="1CFBB8F6" w14:textId="77777777" w:rsidR="00A83C5B" w:rsidRDefault="00A83C5B" w:rsidP="00A83C5B">
      <w:pPr>
        <w:spacing w:after="0" w:line="240" w:lineRule="auto"/>
      </w:pPr>
      <w:r>
        <w:continuationSeparator/>
      </w:r>
    </w:p>
  </w:footnote>
  <w:footnote w:type="continuationNotice" w:id="1">
    <w:p w14:paraId="783ED971" w14:textId="77777777" w:rsidR="00706369" w:rsidRDefault="0070636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C"/>
    <w:rsid w:val="00031C3E"/>
    <w:rsid w:val="00040445"/>
    <w:rsid w:val="0005747E"/>
    <w:rsid w:val="00076525"/>
    <w:rsid w:val="000E5CF3"/>
    <w:rsid w:val="001050FB"/>
    <w:rsid w:val="00192015"/>
    <w:rsid w:val="0019620D"/>
    <w:rsid w:val="001B3B44"/>
    <w:rsid w:val="00207706"/>
    <w:rsid w:val="0024123C"/>
    <w:rsid w:val="00262470"/>
    <w:rsid w:val="00295227"/>
    <w:rsid w:val="002C077C"/>
    <w:rsid w:val="00314668"/>
    <w:rsid w:val="00397728"/>
    <w:rsid w:val="003B7EAB"/>
    <w:rsid w:val="0043469D"/>
    <w:rsid w:val="004E0759"/>
    <w:rsid w:val="00552439"/>
    <w:rsid w:val="00687B82"/>
    <w:rsid w:val="006A332B"/>
    <w:rsid w:val="006D637E"/>
    <w:rsid w:val="006F68A1"/>
    <w:rsid w:val="00706369"/>
    <w:rsid w:val="00752EB3"/>
    <w:rsid w:val="00774BE7"/>
    <w:rsid w:val="007C39B9"/>
    <w:rsid w:val="007D00FA"/>
    <w:rsid w:val="008A584F"/>
    <w:rsid w:val="008C313A"/>
    <w:rsid w:val="008E1B0C"/>
    <w:rsid w:val="0094531C"/>
    <w:rsid w:val="00986FDD"/>
    <w:rsid w:val="009904D1"/>
    <w:rsid w:val="009D7414"/>
    <w:rsid w:val="009F1147"/>
    <w:rsid w:val="009F3CB0"/>
    <w:rsid w:val="00A13EA7"/>
    <w:rsid w:val="00A13F73"/>
    <w:rsid w:val="00A50428"/>
    <w:rsid w:val="00A74A7B"/>
    <w:rsid w:val="00A83C5B"/>
    <w:rsid w:val="00A87D73"/>
    <w:rsid w:val="00AA3618"/>
    <w:rsid w:val="00B13BA9"/>
    <w:rsid w:val="00B55E38"/>
    <w:rsid w:val="00B561D8"/>
    <w:rsid w:val="00B6051C"/>
    <w:rsid w:val="00B60782"/>
    <w:rsid w:val="00B6771E"/>
    <w:rsid w:val="00BA5F18"/>
    <w:rsid w:val="00C1057F"/>
    <w:rsid w:val="00C423F4"/>
    <w:rsid w:val="00C928D9"/>
    <w:rsid w:val="00CC1733"/>
    <w:rsid w:val="00CD6662"/>
    <w:rsid w:val="00D0040D"/>
    <w:rsid w:val="00D622E0"/>
    <w:rsid w:val="00D96538"/>
    <w:rsid w:val="00DB55F7"/>
    <w:rsid w:val="00DB74FB"/>
    <w:rsid w:val="00DC5171"/>
    <w:rsid w:val="00DE15D6"/>
    <w:rsid w:val="00E4657C"/>
    <w:rsid w:val="00EB4ABD"/>
    <w:rsid w:val="00F3363E"/>
    <w:rsid w:val="00F46744"/>
    <w:rsid w:val="12AF3361"/>
    <w:rsid w:val="366A120A"/>
    <w:rsid w:val="40FAD68C"/>
    <w:rsid w:val="43E9E588"/>
    <w:rsid w:val="67289E2C"/>
    <w:rsid w:val="724B793D"/>
    <w:rsid w:val="7FC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BD6D"/>
  <w15:chartTrackingRefBased/>
  <w15:docId w15:val="{F6A9AEB6-FC70-40F3-BACF-21029DE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40D"/>
    <w:pPr>
      <w:keepNext/>
      <w:keepLines/>
      <w:shd w:val="clear" w:color="auto" w:fill="92D050"/>
      <w:spacing w:before="240" w:after="0"/>
      <w:jc w:val="center"/>
      <w:outlineLvl w:val="0"/>
    </w:pPr>
    <w:rPr>
      <w:rFonts w:ascii="Tahoma" w:eastAsiaTheme="majorEastAsi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040D"/>
    <w:rPr>
      <w:rFonts w:ascii="Tahoma" w:eastAsiaTheme="majorEastAsia" w:hAnsi="Tahoma" w:cs="Tahoma"/>
      <w:sz w:val="28"/>
      <w:szCs w:val="28"/>
      <w:shd w:val="clear" w:color="auto" w:fill="92D050"/>
    </w:rPr>
  </w:style>
  <w:style w:type="paragraph" w:styleId="Header">
    <w:name w:val="header"/>
    <w:basedOn w:val="Normal"/>
    <w:link w:val="HeaderChar"/>
    <w:uiPriority w:val="99"/>
    <w:unhideWhenUsed/>
    <w:rsid w:val="00A8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5B"/>
  </w:style>
  <w:style w:type="paragraph" w:styleId="Footer">
    <w:name w:val="footer"/>
    <w:basedOn w:val="Normal"/>
    <w:link w:val="FooterChar"/>
    <w:uiPriority w:val="99"/>
    <w:unhideWhenUsed/>
    <w:rsid w:val="00A8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5B"/>
  </w:style>
  <w:style w:type="character" w:styleId="CommentReference">
    <w:name w:val="annotation reference"/>
    <w:basedOn w:val="DefaultParagraphFont"/>
    <w:uiPriority w:val="99"/>
    <w:semiHidden/>
    <w:unhideWhenUsed/>
    <w:rsid w:val="00A50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4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266A-BA57-4FFB-BE7B-21959941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Jennifer Perry</cp:lastModifiedBy>
  <cp:revision>2</cp:revision>
  <cp:lastPrinted>2022-08-01T17:01:00Z</cp:lastPrinted>
  <dcterms:created xsi:type="dcterms:W3CDTF">2024-08-05T15:08:00Z</dcterms:created>
  <dcterms:modified xsi:type="dcterms:W3CDTF">2024-08-05T15:08:00Z</dcterms:modified>
</cp:coreProperties>
</file>