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3980" w14:textId="7F30FA77" w:rsidR="007B1179" w:rsidRPr="007B1179" w:rsidRDefault="00C746F7" w:rsidP="007B1179">
      <w:pPr>
        <w:pStyle w:val="Heading1"/>
      </w:pPr>
      <w:r w:rsidRPr="007B1179">
        <w:rPr>
          <w:b/>
          <w:bCs/>
        </w:rPr>
        <w:t xml:space="preserve">Multi-Occupancy </w:t>
      </w:r>
      <w:r w:rsidR="007B1179" w:rsidRPr="007B1179">
        <w:rPr>
          <w:b/>
          <w:bCs/>
        </w:rPr>
        <w:t xml:space="preserve">Buildings Insurance </w:t>
      </w:r>
      <w:r w:rsidR="007B1179" w:rsidRPr="007B1179">
        <w:rPr>
          <w:b/>
          <w:bCs/>
        </w:rPr>
        <w:br/>
      </w:r>
      <w:r w:rsidRPr="007B1179">
        <w:rPr>
          <w:b/>
          <w:bCs/>
        </w:rPr>
        <w:t>Residential Leaseholder Information</w:t>
      </w:r>
      <w:r w:rsidRPr="00B16CE0">
        <w:rPr>
          <w:b/>
          <w:bCs/>
        </w:rPr>
        <w:t xml:space="preserve"> </w:t>
      </w:r>
      <w:r w:rsidR="007B1179">
        <w:rPr>
          <w:b/>
          <w:bCs/>
        </w:rPr>
        <w:br/>
      </w:r>
      <w:r w:rsidR="007B1179" w:rsidRPr="007B1179">
        <w:rPr>
          <w:sz w:val="22"/>
          <w:szCs w:val="22"/>
        </w:rPr>
        <w:t>Version: December 2023</w:t>
      </w:r>
    </w:p>
    <w:p w14:paraId="1572B736" w14:textId="003117CD" w:rsidR="00812DAC" w:rsidRPr="004C7770" w:rsidRDefault="00812DAC" w:rsidP="00B16CE0">
      <w:pPr>
        <w:spacing w:beforeLines="120" w:before="288" w:afterLines="120" w:after="288"/>
      </w:pPr>
      <w:bookmarkStart w:id="0" w:name="_Hlk151455954"/>
      <w:r w:rsidRPr="004C7770">
        <w:rPr>
          <w:highlight w:val="yellow"/>
        </w:rPr>
        <w:t>Drafting notes: these are shown in yellow highlight. Areas for insertion/completion are shown in green highlight.  Drafting notes should be removed before issuing this document.</w:t>
      </w:r>
      <w:r w:rsidRPr="004C7770">
        <w:t xml:space="preserve"> </w:t>
      </w:r>
      <w:r w:rsidR="007B1179" w:rsidRPr="004C7770">
        <w:rPr>
          <w:highlight w:val="yellow"/>
        </w:rPr>
        <w:t>A separate document is required for each leaseholder/policy stakeholder.</w:t>
      </w:r>
    </w:p>
    <w:p w14:paraId="086870DB" w14:textId="682EAF57" w:rsidR="00C746F7" w:rsidRPr="004C7770" w:rsidRDefault="00C746F7" w:rsidP="00B16CE0">
      <w:pPr>
        <w:spacing w:beforeLines="120" w:before="288" w:afterLines="120" w:after="288"/>
      </w:pPr>
      <w:r w:rsidRPr="004C7770">
        <w:t xml:space="preserve">The following information is provided to you </w:t>
      </w:r>
      <w:r w:rsidR="00067FFD" w:rsidRPr="004C7770">
        <w:t xml:space="preserve">as required by </w:t>
      </w:r>
      <w:r w:rsidRPr="004C7770">
        <w:t>Financial Conduct Authority (FCA). Please note that where ‘Insured’ is stated in this document, it refers to the named person on the policy (the ‘Policyholder’) who has the direct contractual relationship with us.</w:t>
      </w:r>
    </w:p>
    <w:bookmarkEnd w:id="0"/>
    <w:p w14:paraId="29BE321D" w14:textId="77777777" w:rsidR="00C746F7" w:rsidRPr="004C7770" w:rsidRDefault="00C746F7" w:rsidP="00B16CE0">
      <w:pPr>
        <w:pStyle w:val="ListParagraph"/>
        <w:keepNext/>
        <w:numPr>
          <w:ilvl w:val="0"/>
          <w:numId w:val="1"/>
        </w:numPr>
        <w:spacing w:beforeLines="120" w:before="288" w:afterLines="120" w:after="288"/>
        <w:ind w:left="357" w:hanging="357"/>
        <w:rPr>
          <w:b/>
          <w:bCs/>
          <w:lang w:eastAsia="en-GB"/>
        </w:rPr>
      </w:pPr>
      <w:r w:rsidRPr="004C7770">
        <w:rPr>
          <w:b/>
          <w:bCs/>
          <w:lang w:eastAsia="en-GB"/>
        </w:rPr>
        <w:t>A summary of the features of the policy, including main benefits, coverage and exclusions of the policy, duration and insured sum.</w:t>
      </w:r>
    </w:p>
    <w:p w14:paraId="7B50B433" w14:textId="77777777" w:rsidR="00C746F7" w:rsidRPr="004C7770" w:rsidRDefault="00C746F7" w:rsidP="002F49EE">
      <w:pPr>
        <w:spacing w:beforeLines="120" w:before="288" w:afterLines="120" w:after="288"/>
      </w:pPr>
      <w:r w:rsidRPr="004C7770">
        <w:t xml:space="preserve">Please refer to </w:t>
      </w:r>
      <w:r w:rsidRPr="004C7770">
        <w:rPr>
          <w:highlight w:val="yellow"/>
        </w:rPr>
        <w:t>[insert name of document]</w:t>
      </w:r>
    </w:p>
    <w:p w14:paraId="621E14DE" w14:textId="77777777" w:rsidR="00C746F7" w:rsidRPr="004C7770" w:rsidRDefault="00C746F7" w:rsidP="00B16CE0">
      <w:pPr>
        <w:pStyle w:val="ListParagraph"/>
        <w:keepNext/>
        <w:numPr>
          <w:ilvl w:val="0"/>
          <w:numId w:val="1"/>
        </w:numPr>
        <w:spacing w:beforeLines="120" w:before="288" w:afterLines="120" w:after="288"/>
        <w:ind w:left="357" w:hanging="357"/>
        <w:rPr>
          <w:b/>
          <w:bCs/>
          <w:lang w:eastAsia="en-GB"/>
        </w:rPr>
      </w:pPr>
      <w:r w:rsidRPr="004C7770">
        <w:rPr>
          <w:b/>
          <w:bCs/>
          <w:lang w:eastAsia="en-GB"/>
        </w:rPr>
        <w:t>The policy premium</w:t>
      </w:r>
    </w:p>
    <w:p w14:paraId="1B745AEE" w14:textId="77777777" w:rsidR="00067FFD" w:rsidRPr="004C7770" w:rsidRDefault="00067FFD" w:rsidP="002F49EE">
      <w:pPr>
        <w:spacing w:beforeLines="120" w:before="288" w:afterLines="120" w:after="288"/>
      </w:pPr>
      <w:bookmarkStart w:id="1" w:name="_Hlk151380072"/>
      <w:r w:rsidRPr="004C7770">
        <w:rPr>
          <w:highlight w:val="yellow"/>
        </w:rPr>
        <w:t>[Choose one of the following]</w:t>
      </w:r>
    </w:p>
    <w:p w14:paraId="46430601" w14:textId="77777777" w:rsidR="00067FFD" w:rsidRPr="004C7770" w:rsidRDefault="00067FFD" w:rsidP="002F49EE">
      <w:pPr>
        <w:spacing w:beforeLines="120" w:before="288" w:afterLines="120" w:after="288"/>
      </w:pPr>
      <w:r w:rsidRPr="004C7770">
        <w:rPr>
          <w:highlight w:val="yellow"/>
        </w:rPr>
        <w:t>[If a flat]</w:t>
      </w:r>
      <w:r w:rsidRPr="004C7770">
        <w:t xml:space="preserve"> The premium of the building is </w:t>
      </w:r>
      <w:proofErr w:type="gramStart"/>
      <w:r w:rsidRPr="004C7770">
        <w:t>£</w:t>
      </w:r>
      <w:r w:rsidRPr="004C7770">
        <w:rPr>
          <w:highlight w:val="green"/>
        </w:rPr>
        <w:t>[</w:t>
      </w:r>
      <w:proofErr w:type="gramEnd"/>
      <w:r w:rsidRPr="004C7770">
        <w:rPr>
          <w:highlight w:val="green"/>
        </w:rPr>
        <w:t>insert amount]</w:t>
      </w:r>
      <w:r w:rsidRPr="004C7770">
        <w:t xml:space="preserve"> and the premium of the flat alone is  £</w:t>
      </w:r>
      <w:r w:rsidRPr="004C7770">
        <w:rPr>
          <w:highlight w:val="green"/>
        </w:rPr>
        <w:t>[insert amount]</w:t>
      </w:r>
    </w:p>
    <w:p w14:paraId="144A27D6" w14:textId="69E85AF6" w:rsidR="00067FFD" w:rsidRPr="004C7770" w:rsidRDefault="00B16CE0" w:rsidP="002F49EE">
      <w:pPr>
        <w:spacing w:beforeLines="120" w:before="288" w:afterLines="120" w:after="288"/>
      </w:pPr>
      <w:r w:rsidRPr="004C7770">
        <w:rPr>
          <w:highlight w:val="yellow"/>
        </w:rPr>
        <w:t>or</w:t>
      </w:r>
    </w:p>
    <w:p w14:paraId="7BE6FD8D" w14:textId="77777777" w:rsidR="00067FFD" w:rsidRPr="004C7770" w:rsidRDefault="00067FFD" w:rsidP="002F49EE">
      <w:pPr>
        <w:spacing w:beforeLines="120" w:before="288" w:afterLines="120" w:after="288"/>
      </w:pPr>
      <w:r w:rsidRPr="004C7770">
        <w:rPr>
          <w:highlight w:val="yellow"/>
        </w:rPr>
        <w:t>[If breakdown not available at individual flat level]</w:t>
      </w:r>
      <w:r w:rsidRPr="004C7770">
        <w:rPr>
          <w:i/>
          <w:iCs/>
        </w:rPr>
        <w:t xml:space="preserve"> </w:t>
      </w:r>
      <w:r w:rsidRPr="004C7770">
        <w:t xml:space="preserve">The premium of the building is </w:t>
      </w:r>
      <w:proofErr w:type="gramStart"/>
      <w:r w:rsidRPr="004C7770">
        <w:t>£</w:t>
      </w:r>
      <w:r w:rsidRPr="004C7770">
        <w:rPr>
          <w:highlight w:val="green"/>
        </w:rPr>
        <w:t>[</w:t>
      </w:r>
      <w:proofErr w:type="gramEnd"/>
      <w:r w:rsidRPr="004C7770">
        <w:rPr>
          <w:highlight w:val="green"/>
        </w:rPr>
        <w:t>insert amount]</w:t>
      </w:r>
      <w:r w:rsidRPr="004C7770">
        <w:t xml:space="preserve"> </w:t>
      </w:r>
    </w:p>
    <w:p w14:paraId="679A0EFE" w14:textId="7AF28AC9" w:rsidR="00067FFD" w:rsidRPr="004C7770" w:rsidRDefault="00B16CE0" w:rsidP="002F49EE">
      <w:pPr>
        <w:spacing w:beforeLines="120" w:before="288" w:afterLines="120" w:after="288"/>
      </w:pPr>
      <w:r w:rsidRPr="004C7770">
        <w:rPr>
          <w:highlight w:val="yellow"/>
        </w:rPr>
        <w:t>or</w:t>
      </w:r>
    </w:p>
    <w:p w14:paraId="1C3E2162" w14:textId="5074239D" w:rsidR="00067FFD" w:rsidRPr="004C7770" w:rsidRDefault="00067FFD" w:rsidP="002F49EE">
      <w:pPr>
        <w:spacing w:beforeLines="120" w:before="288" w:afterLines="120" w:after="288"/>
      </w:pPr>
      <w:r w:rsidRPr="004C7770">
        <w:rPr>
          <w:highlight w:val="yellow"/>
        </w:rPr>
        <w:t xml:space="preserve">[If not able to identify a specific amount of premium at </w:t>
      </w:r>
      <w:r w:rsidR="00B16CE0" w:rsidRPr="004C7770">
        <w:rPr>
          <w:highlight w:val="yellow"/>
        </w:rPr>
        <w:t>building level</w:t>
      </w:r>
      <w:r w:rsidRPr="004C7770">
        <w:rPr>
          <w:highlight w:val="yellow"/>
        </w:rPr>
        <w:t>]</w:t>
      </w:r>
      <w:r w:rsidRPr="004C7770">
        <w:t xml:space="preserve"> The Insurer has not been able to provide a premium at </w:t>
      </w:r>
      <w:r w:rsidR="007B1179" w:rsidRPr="004C7770">
        <w:t>building level</w:t>
      </w:r>
      <w:r w:rsidRPr="004C7770">
        <w:t xml:space="preserve"> for this policy.  An estimate of the premium for the building is </w:t>
      </w:r>
      <w:proofErr w:type="gramStart"/>
      <w:r w:rsidRPr="004C7770">
        <w:t>£</w:t>
      </w:r>
      <w:r w:rsidRPr="004C7770">
        <w:rPr>
          <w:highlight w:val="green"/>
        </w:rPr>
        <w:t>[</w:t>
      </w:r>
      <w:proofErr w:type="gramEnd"/>
      <w:r w:rsidRPr="004C7770">
        <w:rPr>
          <w:highlight w:val="green"/>
        </w:rPr>
        <w:t>insert amount]</w:t>
      </w:r>
      <w:r w:rsidRPr="004C7770">
        <w:t xml:space="preserve">. This has been estimated by </w:t>
      </w:r>
      <w:r w:rsidRPr="004C7770">
        <w:rPr>
          <w:highlight w:val="green"/>
        </w:rPr>
        <w:t xml:space="preserve">[insert either the </w:t>
      </w:r>
      <w:r w:rsidR="007B1179" w:rsidRPr="004C7770">
        <w:rPr>
          <w:highlight w:val="green"/>
        </w:rPr>
        <w:t>i</w:t>
      </w:r>
      <w:r w:rsidRPr="004C7770">
        <w:rPr>
          <w:highlight w:val="green"/>
        </w:rPr>
        <w:t xml:space="preserve">nsurer or </w:t>
      </w:r>
      <w:proofErr w:type="gramStart"/>
      <w:r w:rsidRPr="004C7770">
        <w:rPr>
          <w:highlight w:val="green"/>
        </w:rPr>
        <w:t>ourselves</w:t>
      </w:r>
      <w:proofErr w:type="gramEnd"/>
      <w:r w:rsidRPr="004C7770">
        <w:rPr>
          <w:highlight w:val="green"/>
        </w:rPr>
        <w:t>]</w:t>
      </w:r>
      <w:r w:rsidRPr="004C7770">
        <w:t>.</w:t>
      </w:r>
    </w:p>
    <w:bookmarkEnd w:id="1"/>
    <w:p w14:paraId="62AE9C81" w14:textId="77777777" w:rsidR="00C746F7" w:rsidRPr="004C7770" w:rsidRDefault="00C746F7" w:rsidP="002F49EE">
      <w:pPr>
        <w:spacing w:beforeLines="120" w:before="288" w:afterLines="120" w:after="288"/>
      </w:pPr>
      <w:r w:rsidRPr="004C7770">
        <w:t>All figures include Insurance Premium Tax</w:t>
      </w:r>
    </w:p>
    <w:p w14:paraId="5FB6E45E" w14:textId="77777777" w:rsidR="00C746F7" w:rsidRPr="004C7770" w:rsidRDefault="00C746F7" w:rsidP="00B16CE0">
      <w:pPr>
        <w:pStyle w:val="ListParagraph"/>
        <w:keepNext/>
        <w:numPr>
          <w:ilvl w:val="0"/>
          <w:numId w:val="1"/>
        </w:numPr>
        <w:spacing w:beforeLines="120" w:before="288" w:afterLines="120" w:after="288"/>
        <w:ind w:left="357" w:hanging="357"/>
        <w:rPr>
          <w:b/>
          <w:bCs/>
          <w:lang w:eastAsia="en-GB"/>
        </w:rPr>
      </w:pPr>
      <w:r w:rsidRPr="004C7770">
        <w:rPr>
          <w:b/>
          <w:bCs/>
          <w:lang w:eastAsia="en-GB"/>
        </w:rPr>
        <w:t xml:space="preserve">Remuneration Disclosure </w:t>
      </w:r>
    </w:p>
    <w:tbl>
      <w:tblPr>
        <w:tblStyle w:val="TableGrid"/>
        <w:tblW w:w="0" w:type="auto"/>
        <w:tblLook w:val="04A0" w:firstRow="1" w:lastRow="0" w:firstColumn="1" w:lastColumn="0" w:noHBand="0" w:noVBand="1"/>
      </w:tblPr>
      <w:tblGrid>
        <w:gridCol w:w="1007"/>
        <w:gridCol w:w="2158"/>
        <w:gridCol w:w="1811"/>
        <w:gridCol w:w="2420"/>
        <w:gridCol w:w="1620"/>
      </w:tblGrid>
      <w:tr w:rsidR="00B16CE0" w:rsidRPr="004C7770" w14:paraId="03F5FB8D" w14:textId="77777777" w:rsidTr="006A4D25">
        <w:tc>
          <w:tcPr>
            <w:tcW w:w="1007" w:type="dxa"/>
          </w:tcPr>
          <w:p w14:paraId="6B6C8B45" w14:textId="77777777" w:rsidR="00C746F7" w:rsidRPr="004C7770" w:rsidRDefault="00C746F7" w:rsidP="007B1179">
            <w:pPr>
              <w:rPr>
                <w:sz w:val="22"/>
                <w:szCs w:val="22"/>
              </w:rPr>
            </w:pPr>
            <w:bookmarkStart w:id="2" w:name="_Hlk151401692"/>
            <w:bookmarkStart w:id="3" w:name="_Hlk151401768"/>
            <w:r w:rsidRPr="004C7770">
              <w:rPr>
                <w:sz w:val="22"/>
                <w:szCs w:val="22"/>
              </w:rPr>
              <w:t>Policy</w:t>
            </w:r>
          </w:p>
        </w:tc>
        <w:tc>
          <w:tcPr>
            <w:tcW w:w="2158" w:type="dxa"/>
          </w:tcPr>
          <w:p w14:paraId="3E27CE40" w14:textId="7AD64F26" w:rsidR="00C746F7" w:rsidRPr="004C7770" w:rsidRDefault="00C746F7" w:rsidP="007B1179">
            <w:pPr>
              <w:rPr>
                <w:sz w:val="22"/>
                <w:szCs w:val="22"/>
              </w:rPr>
            </w:pPr>
            <w:r w:rsidRPr="004C7770">
              <w:rPr>
                <w:b/>
                <w:bCs/>
                <w:sz w:val="22"/>
                <w:szCs w:val="22"/>
              </w:rPr>
              <w:t>Type of Remuneration</w:t>
            </w:r>
            <w:r w:rsidRPr="004C7770">
              <w:rPr>
                <w:sz w:val="22"/>
                <w:szCs w:val="22"/>
              </w:rPr>
              <w:t xml:space="preserve"> – please see definitions below </w:t>
            </w:r>
          </w:p>
        </w:tc>
        <w:tc>
          <w:tcPr>
            <w:tcW w:w="1811" w:type="dxa"/>
          </w:tcPr>
          <w:p w14:paraId="18205494" w14:textId="16B13157" w:rsidR="00C746F7" w:rsidRPr="004C7770" w:rsidRDefault="00C746F7" w:rsidP="007B1179">
            <w:pPr>
              <w:rPr>
                <w:sz w:val="22"/>
                <w:szCs w:val="22"/>
              </w:rPr>
            </w:pPr>
            <w:r w:rsidRPr="004C7770">
              <w:rPr>
                <w:b/>
                <w:bCs/>
                <w:sz w:val="22"/>
                <w:szCs w:val="22"/>
              </w:rPr>
              <w:t>How much do we receive</w:t>
            </w:r>
            <w:r w:rsidR="00A37C2F" w:rsidRPr="004C7770">
              <w:rPr>
                <w:sz w:val="22"/>
                <w:szCs w:val="22"/>
              </w:rPr>
              <w:t xml:space="preserve"> – based on the amount shown in 2)</w:t>
            </w:r>
          </w:p>
        </w:tc>
        <w:tc>
          <w:tcPr>
            <w:tcW w:w="2420" w:type="dxa"/>
          </w:tcPr>
          <w:p w14:paraId="2B5977C0" w14:textId="3D2BDB61" w:rsidR="00C746F7" w:rsidRPr="004C7770" w:rsidRDefault="00C746F7" w:rsidP="007B1179">
            <w:pPr>
              <w:rPr>
                <w:b/>
                <w:bCs/>
                <w:sz w:val="22"/>
                <w:szCs w:val="22"/>
              </w:rPr>
            </w:pPr>
            <w:r w:rsidRPr="004C7770">
              <w:rPr>
                <w:b/>
                <w:bCs/>
                <w:sz w:val="22"/>
                <w:szCs w:val="22"/>
              </w:rPr>
              <w:t>Who i</w:t>
            </w:r>
            <w:r w:rsidR="00067FFD" w:rsidRPr="004C7770">
              <w:rPr>
                <w:b/>
                <w:bCs/>
                <w:sz w:val="22"/>
                <w:szCs w:val="22"/>
              </w:rPr>
              <w:t>t</w:t>
            </w:r>
            <w:r w:rsidRPr="004C7770">
              <w:rPr>
                <w:b/>
                <w:bCs/>
                <w:sz w:val="22"/>
                <w:szCs w:val="22"/>
              </w:rPr>
              <w:t xml:space="preserve"> i</w:t>
            </w:r>
            <w:r w:rsidR="00067FFD" w:rsidRPr="004C7770">
              <w:rPr>
                <w:b/>
                <w:bCs/>
                <w:sz w:val="22"/>
                <w:szCs w:val="22"/>
              </w:rPr>
              <w:t>s</w:t>
            </w:r>
            <w:r w:rsidRPr="004C7770">
              <w:rPr>
                <w:b/>
                <w:bCs/>
                <w:sz w:val="22"/>
                <w:szCs w:val="22"/>
              </w:rPr>
              <w:t xml:space="preserve"> shared with </w:t>
            </w:r>
            <w:r w:rsidR="00067FFD" w:rsidRPr="004C7770">
              <w:rPr>
                <w:sz w:val="22"/>
                <w:szCs w:val="22"/>
                <w:highlight w:val="yellow"/>
              </w:rPr>
              <w:t>[delete as applicable and add further rows where necessary]</w:t>
            </w:r>
          </w:p>
        </w:tc>
        <w:tc>
          <w:tcPr>
            <w:tcW w:w="1620" w:type="dxa"/>
          </w:tcPr>
          <w:p w14:paraId="13DE99E2" w14:textId="77777777" w:rsidR="00C746F7" w:rsidRPr="004C7770" w:rsidRDefault="00C746F7" w:rsidP="007B1179">
            <w:pPr>
              <w:rPr>
                <w:sz w:val="22"/>
                <w:szCs w:val="22"/>
              </w:rPr>
            </w:pPr>
            <w:r w:rsidRPr="004C7770">
              <w:rPr>
                <w:b/>
                <w:bCs/>
                <w:sz w:val="22"/>
                <w:szCs w:val="22"/>
              </w:rPr>
              <w:t xml:space="preserve">The amount that is shared </w:t>
            </w:r>
            <w:r w:rsidR="00067FFD" w:rsidRPr="004C7770">
              <w:rPr>
                <w:sz w:val="22"/>
                <w:szCs w:val="22"/>
                <w:highlight w:val="yellow"/>
              </w:rPr>
              <w:t xml:space="preserve">[if this is estimated, this should be clearly stated along with the reason why an exact </w:t>
            </w:r>
            <w:r w:rsidR="00067FFD" w:rsidRPr="004C7770">
              <w:rPr>
                <w:sz w:val="22"/>
                <w:szCs w:val="22"/>
                <w:highlight w:val="yellow"/>
              </w:rPr>
              <w:lastRenderedPageBreak/>
              <w:t>figure cannot be stated]</w:t>
            </w:r>
          </w:p>
          <w:p w14:paraId="2253CD41" w14:textId="73D7CCB4" w:rsidR="00067FFD" w:rsidRPr="004C7770" w:rsidRDefault="00067FFD" w:rsidP="007B1179">
            <w:pPr>
              <w:rPr>
                <w:sz w:val="22"/>
                <w:szCs w:val="22"/>
              </w:rPr>
            </w:pPr>
          </w:p>
        </w:tc>
      </w:tr>
      <w:tr w:rsidR="00B16CE0" w:rsidRPr="004C7770" w14:paraId="4325E25F" w14:textId="77777777" w:rsidTr="006A4D25">
        <w:tc>
          <w:tcPr>
            <w:tcW w:w="1007" w:type="dxa"/>
          </w:tcPr>
          <w:p w14:paraId="0EC007E6" w14:textId="77777777" w:rsidR="0061350B" w:rsidRPr="004C7770" w:rsidRDefault="0061350B" w:rsidP="007B1179">
            <w:pPr>
              <w:rPr>
                <w:sz w:val="22"/>
                <w:szCs w:val="22"/>
              </w:rPr>
            </w:pPr>
          </w:p>
        </w:tc>
        <w:tc>
          <w:tcPr>
            <w:tcW w:w="2158" w:type="dxa"/>
          </w:tcPr>
          <w:p w14:paraId="77FBB474" w14:textId="77777777" w:rsidR="0061350B" w:rsidRPr="004C7770" w:rsidRDefault="0061350B" w:rsidP="007B1179">
            <w:pPr>
              <w:rPr>
                <w:sz w:val="22"/>
                <w:szCs w:val="22"/>
              </w:rPr>
            </w:pPr>
            <w:r w:rsidRPr="004C7770">
              <w:rPr>
                <w:sz w:val="22"/>
                <w:szCs w:val="22"/>
              </w:rPr>
              <w:t>Commission</w:t>
            </w:r>
          </w:p>
        </w:tc>
        <w:tc>
          <w:tcPr>
            <w:tcW w:w="1811" w:type="dxa"/>
          </w:tcPr>
          <w:p w14:paraId="0E46C54C" w14:textId="674CA6F1" w:rsidR="0061350B" w:rsidRPr="004C7770" w:rsidRDefault="0061350B" w:rsidP="007B1179">
            <w:pPr>
              <w:rPr>
                <w:sz w:val="22"/>
                <w:szCs w:val="22"/>
              </w:rPr>
            </w:pPr>
            <w:r w:rsidRPr="004C7770">
              <w:rPr>
                <w:sz w:val="22"/>
                <w:szCs w:val="22"/>
              </w:rPr>
              <w:t>£</w:t>
            </w:r>
            <w:r w:rsidR="006A4D25" w:rsidRPr="004C7770">
              <w:rPr>
                <w:sz w:val="22"/>
                <w:szCs w:val="22"/>
                <w:highlight w:val="green"/>
              </w:rPr>
              <w:t>X</w:t>
            </w:r>
          </w:p>
        </w:tc>
        <w:tc>
          <w:tcPr>
            <w:tcW w:w="2420" w:type="dxa"/>
            <w:shd w:val="clear" w:color="auto" w:fill="auto"/>
          </w:tcPr>
          <w:p w14:paraId="4C0BB187" w14:textId="46592764" w:rsidR="0061350B" w:rsidRPr="004C7770" w:rsidRDefault="0061350B" w:rsidP="007B1179">
            <w:pPr>
              <w:rPr>
                <w:sz w:val="22"/>
                <w:szCs w:val="22"/>
              </w:rPr>
            </w:pPr>
            <w:r w:rsidRPr="004C7770">
              <w:rPr>
                <w:sz w:val="22"/>
                <w:szCs w:val="22"/>
                <w:highlight w:val="green"/>
              </w:rPr>
              <w:t>Insured/Insured’s Company Secretary/</w:t>
            </w:r>
            <w:r w:rsidRPr="004C7770" w:rsidDel="00B5615D">
              <w:rPr>
                <w:sz w:val="22"/>
                <w:szCs w:val="22"/>
                <w:highlight w:val="green"/>
              </w:rPr>
              <w:t xml:space="preserve"> </w:t>
            </w:r>
            <w:r w:rsidRPr="004C7770">
              <w:rPr>
                <w:sz w:val="22"/>
                <w:szCs w:val="22"/>
                <w:highlight w:val="green"/>
              </w:rPr>
              <w:t>IAR [insert name]/PIP [insert name]</w:t>
            </w:r>
            <w:r w:rsidR="00067FFD" w:rsidRPr="004C7770">
              <w:rPr>
                <w:sz w:val="22"/>
                <w:szCs w:val="22"/>
                <w:highlight w:val="green"/>
              </w:rPr>
              <w:t>/Property Managing Agent [insert name]/Introducer [insert name]</w:t>
            </w:r>
          </w:p>
        </w:tc>
        <w:tc>
          <w:tcPr>
            <w:tcW w:w="1620" w:type="dxa"/>
          </w:tcPr>
          <w:p w14:paraId="77A6555E" w14:textId="3DD2E7D3" w:rsidR="0061350B" w:rsidRPr="004C7770" w:rsidRDefault="006A4D25" w:rsidP="007B1179">
            <w:pPr>
              <w:rPr>
                <w:sz w:val="22"/>
                <w:szCs w:val="22"/>
              </w:rPr>
            </w:pPr>
            <w:r w:rsidRPr="004C7770">
              <w:rPr>
                <w:sz w:val="22"/>
                <w:szCs w:val="22"/>
              </w:rPr>
              <w:t>£</w:t>
            </w:r>
            <w:r w:rsidRPr="004C7770">
              <w:rPr>
                <w:sz w:val="22"/>
                <w:szCs w:val="22"/>
                <w:highlight w:val="green"/>
              </w:rPr>
              <w:t>X</w:t>
            </w:r>
          </w:p>
        </w:tc>
      </w:tr>
      <w:tr w:rsidR="00B16CE0" w:rsidRPr="004C7770" w14:paraId="76F767B1" w14:textId="77777777" w:rsidTr="006A4D25">
        <w:tc>
          <w:tcPr>
            <w:tcW w:w="1007" w:type="dxa"/>
          </w:tcPr>
          <w:p w14:paraId="1F6A2DA8" w14:textId="77777777" w:rsidR="006A4D25" w:rsidRPr="004C7770" w:rsidRDefault="006A4D25" w:rsidP="007B1179">
            <w:pPr>
              <w:rPr>
                <w:sz w:val="22"/>
                <w:szCs w:val="22"/>
              </w:rPr>
            </w:pPr>
          </w:p>
        </w:tc>
        <w:tc>
          <w:tcPr>
            <w:tcW w:w="2158" w:type="dxa"/>
          </w:tcPr>
          <w:p w14:paraId="47664306" w14:textId="165C82EB" w:rsidR="006A4D25" w:rsidRPr="004C7770" w:rsidRDefault="006A4D25" w:rsidP="007B1179">
            <w:pPr>
              <w:rPr>
                <w:sz w:val="22"/>
                <w:szCs w:val="22"/>
              </w:rPr>
            </w:pPr>
            <w:r w:rsidRPr="004C7770">
              <w:rPr>
                <w:sz w:val="22"/>
                <w:szCs w:val="22"/>
              </w:rPr>
              <w:t>Administration Fee</w:t>
            </w:r>
          </w:p>
        </w:tc>
        <w:tc>
          <w:tcPr>
            <w:tcW w:w="1811" w:type="dxa"/>
          </w:tcPr>
          <w:p w14:paraId="3926117A" w14:textId="6D12BD11" w:rsidR="006A4D25" w:rsidRPr="004C7770" w:rsidRDefault="006A4D25" w:rsidP="007B1179">
            <w:pPr>
              <w:rPr>
                <w:sz w:val="22"/>
                <w:szCs w:val="22"/>
              </w:rPr>
            </w:pPr>
            <w:r w:rsidRPr="004C7770">
              <w:rPr>
                <w:sz w:val="22"/>
                <w:szCs w:val="22"/>
              </w:rPr>
              <w:t>£</w:t>
            </w:r>
            <w:r w:rsidRPr="004C7770">
              <w:rPr>
                <w:sz w:val="22"/>
                <w:szCs w:val="22"/>
                <w:highlight w:val="green"/>
              </w:rPr>
              <w:t>X</w:t>
            </w:r>
          </w:p>
        </w:tc>
        <w:tc>
          <w:tcPr>
            <w:tcW w:w="2420" w:type="dxa"/>
          </w:tcPr>
          <w:p w14:paraId="04793610" w14:textId="77777777" w:rsidR="006A4D25" w:rsidRPr="004C7770" w:rsidRDefault="006A4D25" w:rsidP="007B1179">
            <w:pPr>
              <w:rPr>
                <w:sz w:val="22"/>
                <w:szCs w:val="22"/>
              </w:rPr>
            </w:pPr>
          </w:p>
        </w:tc>
        <w:tc>
          <w:tcPr>
            <w:tcW w:w="1620" w:type="dxa"/>
          </w:tcPr>
          <w:p w14:paraId="391BB4E4" w14:textId="79FF813D" w:rsidR="006A4D25" w:rsidRPr="004C7770" w:rsidRDefault="006A4D25" w:rsidP="007B1179">
            <w:pPr>
              <w:rPr>
                <w:sz w:val="22"/>
                <w:szCs w:val="22"/>
              </w:rPr>
            </w:pPr>
            <w:r w:rsidRPr="004C7770">
              <w:rPr>
                <w:sz w:val="22"/>
                <w:szCs w:val="22"/>
              </w:rPr>
              <w:t>£</w:t>
            </w:r>
            <w:r w:rsidRPr="004C7770">
              <w:rPr>
                <w:sz w:val="22"/>
                <w:szCs w:val="22"/>
                <w:highlight w:val="green"/>
              </w:rPr>
              <w:t>X</w:t>
            </w:r>
          </w:p>
        </w:tc>
      </w:tr>
      <w:tr w:rsidR="006A4D25" w:rsidRPr="004C7770" w14:paraId="7F33D524" w14:textId="77777777" w:rsidTr="006A4D25">
        <w:tc>
          <w:tcPr>
            <w:tcW w:w="1007" w:type="dxa"/>
          </w:tcPr>
          <w:p w14:paraId="0564FCBE" w14:textId="77777777" w:rsidR="006A4D25" w:rsidRPr="004C7770" w:rsidRDefault="006A4D25" w:rsidP="007B1179">
            <w:pPr>
              <w:rPr>
                <w:sz w:val="22"/>
                <w:szCs w:val="22"/>
              </w:rPr>
            </w:pPr>
          </w:p>
        </w:tc>
        <w:tc>
          <w:tcPr>
            <w:tcW w:w="2158" w:type="dxa"/>
          </w:tcPr>
          <w:p w14:paraId="0E40BF65" w14:textId="48ED54E5" w:rsidR="006A4D25" w:rsidRPr="004C7770" w:rsidRDefault="006A4D25" w:rsidP="007B1179">
            <w:pPr>
              <w:rPr>
                <w:sz w:val="22"/>
                <w:szCs w:val="22"/>
              </w:rPr>
            </w:pPr>
            <w:r w:rsidRPr="004C7770">
              <w:rPr>
                <w:sz w:val="22"/>
                <w:szCs w:val="22"/>
              </w:rPr>
              <w:t>Arranging Instalments</w:t>
            </w:r>
          </w:p>
        </w:tc>
        <w:tc>
          <w:tcPr>
            <w:tcW w:w="1811" w:type="dxa"/>
          </w:tcPr>
          <w:p w14:paraId="64FB4C46" w14:textId="3B38B704" w:rsidR="006A4D25" w:rsidRPr="004C7770" w:rsidRDefault="006A4D25" w:rsidP="007B1179">
            <w:pPr>
              <w:rPr>
                <w:sz w:val="22"/>
                <w:szCs w:val="22"/>
              </w:rPr>
            </w:pPr>
            <w:r w:rsidRPr="004C7770">
              <w:rPr>
                <w:sz w:val="22"/>
                <w:szCs w:val="22"/>
              </w:rPr>
              <w:t>£</w:t>
            </w:r>
            <w:r w:rsidRPr="004C7770">
              <w:rPr>
                <w:sz w:val="22"/>
                <w:szCs w:val="22"/>
                <w:highlight w:val="green"/>
              </w:rPr>
              <w:t>X</w:t>
            </w:r>
          </w:p>
        </w:tc>
        <w:tc>
          <w:tcPr>
            <w:tcW w:w="2420" w:type="dxa"/>
          </w:tcPr>
          <w:p w14:paraId="17A9F751" w14:textId="77777777" w:rsidR="006A4D25" w:rsidRPr="004C7770" w:rsidRDefault="006A4D25" w:rsidP="007B1179">
            <w:pPr>
              <w:rPr>
                <w:sz w:val="22"/>
                <w:szCs w:val="22"/>
              </w:rPr>
            </w:pPr>
          </w:p>
        </w:tc>
        <w:tc>
          <w:tcPr>
            <w:tcW w:w="1620" w:type="dxa"/>
          </w:tcPr>
          <w:p w14:paraId="6E81A8C1" w14:textId="68092B14" w:rsidR="006A4D25" w:rsidRPr="004C7770" w:rsidRDefault="006A4D25" w:rsidP="007B1179">
            <w:pPr>
              <w:rPr>
                <w:sz w:val="22"/>
                <w:szCs w:val="22"/>
              </w:rPr>
            </w:pPr>
            <w:r w:rsidRPr="004C7770">
              <w:rPr>
                <w:sz w:val="22"/>
                <w:szCs w:val="22"/>
              </w:rPr>
              <w:t>£</w:t>
            </w:r>
            <w:r w:rsidRPr="004C7770">
              <w:rPr>
                <w:sz w:val="22"/>
                <w:szCs w:val="22"/>
                <w:highlight w:val="green"/>
              </w:rPr>
              <w:t>X</w:t>
            </w:r>
          </w:p>
        </w:tc>
      </w:tr>
      <w:tr w:rsidR="0061350B" w:rsidRPr="004C7770" w14:paraId="754EDEB1" w14:textId="77777777" w:rsidTr="006A4D25">
        <w:tc>
          <w:tcPr>
            <w:tcW w:w="1007" w:type="dxa"/>
          </w:tcPr>
          <w:p w14:paraId="7BCE6E2F" w14:textId="77777777" w:rsidR="0061350B" w:rsidRPr="004C7770" w:rsidRDefault="0061350B" w:rsidP="007B1179">
            <w:pPr>
              <w:rPr>
                <w:sz w:val="22"/>
                <w:szCs w:val="22"/>
              </w:rPr>
            </w:pPr>
          </w:p>
        </w:tc>
        <w:tc>
          <w:tcPr>
            <w:tcW w:w="2158" w:type="dxa"/>
          </w:tcPr>
          <w:p w14:paraId="3966058C" w14:textId="395F5490" w:rsidR="0061350B" w:rsidRPr="00C31C5C" w:rsidRDefault="0061350B" w:rsidP="007B1179">
            <w:pPr>
              <w:rPr>
                <w:sz w:val="22"/>
                <w:szCs w:val="22"/>
                <w:highlight w:val="yellow"/>
              </w:rPr>
            </w:pPr>
            <w:r w:rsidRPr="00C31C5C">
              <w:rPr>
                <w:sz w:val="22"/>
                <w:szCs w:val="22"/>
                <w:highlight w:val="yellow"/>
              </w:rPr>
              <w:t xml:space="preserve">Add additional lines as required from table below. </w:t>
            </w:r>
          </w:p>
        </w:tc>
        <w:tc>
          <w:tcPr>
            <w:tcW w:w="1811" w:type="dxa"/>
          </w:tcPr>
          <w:p w14:paraId="19EFAB19" w14:textId="77777777" w:rsidR="0061350B" w:rsidRPr="004C7770" w:rsidRDefault="0061350B" w:rsidP="007B1179">
            <w:pPr>
              <w:rPr>
                <w:sz w:val="22"/>
                <w:szCs w:val="22"/>
              </w:rPr>
            </w:pPr>
          </w:p>
        </w:tc>
        <w:tc>
          <w:tcPr>
            <w:tcW w:w="2420" w:type="dxa"/>
          </w:tcPr>
          <w:p w14:paraId="1A838C64" w14:textId="77777777" w:rsidR="0061350B" w:rsidRPr="004C7770" w:rsidRDefault="0061350B" w:rsidP="007B1179">
            <w:pPr>
              <w:rPr>
                <w:sz w:val="22"/>
                <w:szCs w:val="22"/>
              </w:rPr>
            </w:pPr>
          </w:p>
        </w:tc>
        <w:tc>
          <w:tcPr>
            <w:tcW w:w="1620" w:type="dxa"/>
          </w:tcPr>
          <w:p w14:paraId="43AD958B" w14:textId="77777777" w:rsidR="0061350B" w:rsidRPr="004C7770" w:rsidRDefault="0061350B" w:rsidP="007B1179">
            <w:pPr>
              <w:rPr>
                <w:sz w:val="22"/>
                <w:szCs w:val="22"/>
              </w:rPr>
            </w:pPr>
          </w:p>
        </w:tc>
      </w:tr>
      <w:tr w:rsidR="00A37C2F" w:rsidRPr="004C7770" w14:paraId="73096B3B" w14:textId="77777777" w:rsidTr="006A4D25">
        <w:tc>
          <w:tcPr>
            <w:tcW w:w="1007" w:type="dxa"/>
          </w:tcPr>
          <w:p w14:paraId="0225387A" w14:textId="1FD459AF" w:rsidR="00A37C2F" w:rsidRPr="004C7770" w:rsidRDefault="00A37C2F" w:rsidP="007B1179">
            <w:pPr>
              <w:rPr>
                <w:sz w:val="22"/>
                <w:szCs w:val="22"/>
              </w:rPr>
            </w:pPr>
            <w:r w:rsidRPr="004C7770">
              <w:rPr>
                <w:sz w:val="22"/>
                <w:szCs w:val="22"/>
              </w:rPr>
              <w:t>Total</w:t>
            </w:r>
          </w:p>
        </w:tc>
        <w:tc>
          <w:tcPr>
            <w:tcW w:w="2158" w:type="dxa"/>
          </w:tcPr>
          <w:p w14:paraId="68F44CD3" w14:textId="34F5272B" w:rsidR="00A37C2F" w:rsidRPr="004C7770" w:rsidRDefault="00A37C2F" w:rsidP="007B1179">
            <w:pPr>
              <w:rPr>
                <w:sz w:val="22"/>
                <w:szCs w:val="22"/>
              </w:rPr>
            </w:pPr>
          </w:p>
        </w:tc>
        <w:tc>
          <w:tcPr>
            <w:tcW w:w="1811" w:type="dxa"/>
          </w:tcPr>
          <w:p w14:paraId="7F3436CF" w14:textId="511CA9B6" w:rsidR="00A37C2F" w:rsidRPr="004C7770" w:rsidRDefault="006A4D25" w:rsidP="007B1179">
            <w:pPr>
              <w:rPr>
                <w:sz w:val="22"/>
                <w:szCs w:val="22"/>
              </w:rPr>
            </w:pPr>
            <w:r w:rsidRPr="004C7770">
              <w:rPr>
                <w:sz w:val="22"/>
                <w:szCs w:val="22"/>
              </w:rPr>
              <w:t>£</w:t>
            </w:r>
            <w:r w:rsidRPr="004C7770">
              <w:rPr>
                <w:sz w:val="22"/>
                <w:szCs w:val="22"/>
                <w:highlight w:val="green"/>
              </w:rPr>
              <w:t>X</w:t>
            </w:r>
          </w:p>
        </w:tc>
        <w:tc>
          <w:tcPr>
            <w:tcW w:w="2420" w:type="dxa"/>
          </w:tcPr>
          <w:p w14:paraId="11279338" w14:textId="77777777" w:rsidR="00A37C2F" w:rsidRPr="004C7770" w:rsidRDefault="00A37C2F" w:rsidP="007B1179">
            <w:pPr>
              <w:rPr>
                <w:sz w:val="22"/>
                <w:szCs w:val="22"/>
              </w:rPr>
            </w:pPr>
          </w:p>
        </w:tc>
        <w:tc>
          <w:tcPr>
            <w:tcW w:w="1620" w:type="dxa"/>
          </w:tcPr>
          <w:p w14:paraId="3647941A" w14:textId="53BB0CD1" w:rsidR="00A37C2F" w:rsidRPr="004C7770" w:rsidRDefault="006A4D25" w:rsidP="007B1179">
            <w:pPr>
              <w:rPr>
                <w:sz w:val="22"/>
                <w:szCs w:val="22"/>
              </w:rPr>
            </w:pPr>
            <w:r w:rsidRPr="004C7770">
              <w:rPr>
                <w:sz w:val="22"/>
                <w:szCs w:val="22"/>
              </w:rPr>
              <w:t>£</w:t>
            </w:r>
            <w:r w:rsidRPr="004C7770">
              <w:rPr>
                <w:sz w:val="22"/>
                <w:szCs w:val="22"/>
                <w:highlight w:val="green"/>
              </w:rPr>
              <w:t>X</w:t>
            </w:r>
          </w:p>
        </w:tc>
      </w:tr>
    </w:tbl>
    <w:bookmarkEnd w:id="2"/>
    <w:bookmarkEnd w:id="3"/>
    <w:p w14:paraId="7B3A317C" w14:textId="77777777" w:rsidR="00C746F7" w:rsidRPr="004C7770" w:rsidRDefault="00C746F7" w:rsidP="00B16CE0">
      <w:pPr>
        <w:keepNext/>
        <w:spacing w:beforeLines="120" w:before="288" w:afterLines="120" w:after="288"/>
      </w:pPr>
      <w:r w:rsidRPr="004C7770">
        <w:rPr>
          <w:highlight w:val="yellow"/>
          <w:shd w:val="clear" w:color="auto" w:fill="97D700"/>
        </w:rPr>
        <w:t>[Those remuneration types that are not applicable can be deleted from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0"/>
        <w:gridCol w:w="6616"/>
      </w:tblGrid>
      <w:tr w:rsidR="002F49EE" w:rsidRPr="004C7770" w14:paraId="3B00FF81" w14:textId="77777777" w:rsidTr="002F49EE">
        <w:trPr>
          <w:cantSplit/>
        </w:trPr>
        <w:tc>
          <w:tcPr>
            <w:tcW w:w="0" w:type="auto"/>
            <w:shd w:val="clear" w:color="auto" w:fill="auto"/>
            <w:tcMar>
              <w:top w:w="91" w:type="dxa"/>
              <w:left w:w="108" w:type="dxa"/>
              <w:bottom w:w="28" w:type="dxa"/>
              <w:right w:w="108" w:type="dxa"/>
            </w:tcMar>
            <w:vAlign w:val="bottom"/>
            <w:hideMark/>
          </w:tcPr>
          <w:p w14:paraId="02896E3E" w14:textId="77777777" w:rsidR="00C746F7" w:rsidRPr="004C7770" w:rsidRDefault="00C746F7" w:rsidP="007B1179">
            <w:pPr>
              <w:keepNext/>
              <w:rPr>
                <w:b/>
                <w:bCs/>
              </w:rPr>
            </w:pPr>
            <w:bookmarkStart w:id="4" w:name="_Hlk151455143"/>
            <w:r w:rsidRPr="004C7770">
              <w:rPr>
                <w:b/>
                <w:bCs/>
              </w:rPr>
              <w:t>Remuneration Type</w:t>
            </w:r>
          </w:p>
        </w:tc>
        <w:tc>
          <w:tcPr>
            <w:tcW w:w="0" w:type="auto"/>
            <w:shd w:val="clear" w:color="auto" w:fill="auto"/>
            <w:tcMar>
              <w:top w:w="91" w:type="dxa"/>
              <w:left w:w="108" w:type="dxa"/>
              <w:bottom w:w="28" w:type="dxa"/>
              <w:right w:w="108" w:type="dxa"/>
            </w:tcMar>
            <w:vAlign w:val="bottom"/>
            <w:hideMark/>
          </w:tcPr>
          <w:p w14:paraId="6D56EE4D" w14:textId="77777777" w:rsidR="00C746F7" w:rsidRPr="004C7770" w:rsidRDefault="00C746F7" w:rsidP="007B1179">
            <w:pPr>
              <w:rPr>
                <w:b/>
                <w:bCs/>
              </w:rPr>
            </w:pPr>
            <w:r w:rsidRPr="004C7770">
              <w:rPr>
                <w:b/>
                <w:bCs/>
              </w:rPr>
              <w:t>Remuneration Description</w:t>
            </w:r>
          </w:p>
        </w:tc>
      </w:tr>
      <w:tr w:rsidR="002F49EE" w:rsidRPr="004C7770" w14:paraId="1574F8FB" w14:textId="77777777" w:rsidTr="002F49EE">
        <w:trPr>
          <w:cantSplit/>
        </w:trPr>
        <w:tc>
          <w:tcPr>
            <w:tcW w:w="0" w:type="auto"/>
            <w:shd w:val="clear" w:color="auto" w:fill="auto"/>
            <w:tcMar>
              <w:top w:w="91" w:type="dxa"/>
              <w:left w:w="108" w:type="dxa"/>
              <w:bottom w:w="28" w:type="dxa"/>
              <w:right w:w="108" w:type="dxa"/>
            </w:tcMar>
          </w:tcPr>
          <w:p w14:paraId="3056C843" w14:textId="77777777" w:rsidR="00C746F7" w:rsidRPr="004C7770" w:rsidRDefault="00C746F7" w:rsidP="007B1179">
            <w:pPr>
              <w:rPr>
                <w:b/>
                <w:bCs/>
              </w:rPr>
            </w:pPr>
            <w:r w:rsidRPr="004C7770">
              <w:rPr>
                <w:b/>
                <w:bCs/>
              </w:rPr>
              <w:t>Commission</w:t>
            </w:r>
          </w:p>
        </w:tc>
        <w:tc>
          <w:tcPr>
            <w:tcW w:w="0" w:type="auto"/>
            <w:shd w:val="clear" w:color="auto" w:fill="auto"/>
            <w:tcMar>
              <w:top w:w="60" w:type="dxa"/>
              <w:left w:w="108" w:type="dxa"/>
              <w:bottom w:w="40" w:type="dxa"/>
              <w:right w:w="108" w:type="dxa"/>
            </w:tcMar>
            <w:vAlign w:val="center"/>
          </w:tcPr>
          <w:p w14:paraId="0C4D885C" w14:textId="75EA4544" w:rsidR="00C746F7" w:rsidRPr="004C7770" w:rsidRDefault="00812DAC" w:rsidP="007B1179">
            <w:r w:rsidRPr="004C7770">
              <w:t>W</w:t>
            </w:r>
            <w:r w:rsidR="00C746F7" w:rsidRPr="004C7770">
              <w:t xml:space="preserve">e receive a commission payment from the insurer for arranging and ongoing management of the insurance policy. This amount is normally a percentage of the total annual premium paid for the policy (excluding insurance premium tax (IPT)). </w:t>
            </w:r>
          </w:p>
        </w:tc>
      </w:tr>
      <w:tr w:rsidR="002F49EE" w:rsidRPr="004C7770" w14:paraId="79BF5A6E" w14:textId="77777777" w:rsidTr="002F49EE">
        <w:trPr>
          <w:cantSplit/>
        </w:trPr>
        <w:tc>
          <w:tcPr>
            <w:tcW w:w="0" w:type="auto"/>
            <w:shd w:val="clear" w:color="auto" w:fill="auto"/>
            <w:tcMar>
              <w:top w:w="91" w:type="dxa"/>
              <w:left w:w="108" w:type="dxa"/>
              <w:bottom w:w="28" w:type="dxa"/>
              <w:right w:w="108" w:type="dxa"/>
            </w:tcMar>
          </w:tcPr>
          <w:p w14:paraId="43807A91" w14:textId="77777777" w:rsidR="00C746F7" w:rsidRPr="004C7770" w:rsidRDefault="00C746F7" w:rsidP="007B1179">
            <w:pPr>
              <w:rPr>
                <w:b/>
                <w:bCs/>
              </w:rPr>
            </w:pPr>
            <w:r w:rsidRPr="004C7770">
              <w:rPr>
                <w:b/>
                <w:bCs/>
              </w:rPr>
              <w:t>Administration Fee</w:t>
            </w:r>
          </w:p>
        </w:tc>
        <w:tc>
          <w:tcPr>
            <w:tcW w:w="0" w:type="auto"/>
            <w:shd w:val="clear" w:color="auto" w:fill="auto"/>
            <w:tcMar>
              <w:top w:w="60" w:type="dxa"/>
              <w:left w:w="108" w:type="dxa"/>
              <w:bottom w:w="40" w:type="dxa"/>
              <w:right w:w="108" w:type="dxa"/>
            </w:tcMar>
            <w:vAlign w:val="center"/>
          </w:tcPr>
          <w:p w14:paraId="32EAEE29" w14:textId="377049D9" w:rsidR="00C746F7" w:rsidRPr="004C7770" w:rsidRDefault="00C746F7" w:rsidP="007B1179">
            <w:r w:rsidRPr="004C7770">
              <w:t xml:space="preserve">When a policy is taken out and an Administration Fee has been applied by us this will be disclosed in the Insured’s documentation alongside details of the cost of the insurance. </w:t>
            </w:r>
          </w:p>
        </w:tc>
      </w:tr>
      <w:tr w:rsidR="002F49EE" w:rsidRPr="004C7770" w14:paraId="4B724BF9" w14:textId="77777777" w:rsidTr="002F49EE">
        <w:trPr>
          <w:cantSplit/>
        </w:trPr>
        <w:tc>
          <w:tcPr>
            <w:tcW w:w="0" w:type="auto"/>
            <w:shd w:val="clear" w:color="auto" w:fill="auto"/>
            <w:tcMar>
              <w:top w:w="91" w:type="dxa"/>
              <w:left w:w="108" w:type="dxa"/>
              <w:bottom w:w="28" w:type="dxa"/>
              <w:right w:w="108" w:type="dxa"/>
            </w:tcMar>
          </w:tcPr>
          <w:p w14:paraId="3CFD2F5D" w14:textId="77777777" w:rsidR="00C746F7" w:rsidRPr="004C7770" w:rsidRDefault="00C746F7" w:rsidP="007B1179">
            <w:pPr>
              <w:rPr>
                <w:b/>
                <w:bCs/>
              </w:rPr>
            </w:pPr>
            <w:r w:rsidRPr="004C7770">
              <w:rPr>
                <w:b/>
                <w:bCs/>
              </w:rPr>
              <w:t>Arranging Instalments</w:t>
            </w:r>
          </w:p>
        </w:tc>
        <w:tc>
          <w:tcPr>
            <w:tcW w:w="0" w:type="auto"/>
            <w:shd w:val="clear" w:color="auto" w:fill="auto"/>
            <w:tcMar>
              <w:top w:w="60" w:type="dxa"/>
              <w:left w:w="108" w:type="dxa"/>
              <w:bottom w:w="40" w:type="dxa"/>
              <w:right w:w="108" w:type="dxa"/>
            </w:tcMar>
            <w:vAlign w:val="center"/>
          </w:tcPr>
          <w:p w14:paraId="580ED0EF" w14:textId="253649DB" w:rsidR="00C746F7" w:rsidRPr="004C7770" w:rsidRDefault="00C746F7" w:rsidP="007B1179">
            <w:r w:rsidRPr="004C7770">
              <w:t xml:space="preserve">Arranging </w:t>
            </w:r>
            <w:r w:rsidRPr="00C31C5C">
              <w:t xml:space="preserve">Instalments – Where </w:t>
            </w:r>
            <w:r w:rsidR="00D467B2" w:rsidRPr="00C31C5C">
              <w:t xml:space="preserve">payment of </w:t>
            </w:r>
            <w:r w:rsidRPr="00C31C5C">
              <w:t>the policy is arranged on an instalment basis</w:t>
            </w:r>
            <w:r w:rsidR="00D467B2" w:rsidRPr="00C31C5C">
              <w:t xml:space="preserve"> through a premium finance provider</w:t>
            </w:r>
            <w:r w:rsidRPr="00C31C5C">
              <w:t>, for the processing and arrangement of the instalment plan we receive, from the Instalment Provider</w:t>
            </w:r>
            <w:r w:rsidRPr="004C7770">
              <w:t>, a percentage of the interest charged by them which is based on the total annual premium (inclusive of Insurance Premium Tax (IPT)) paid.</w:t>
            </w:r>
          </w:p>
        </w:tc>
      </w:tr>
      <w:tr w:rsidR="00812DAC" w:rsidRPr="004C7770" w14:paraId="7BFB4C70" w14:textId="77777777" w:rsidTr="002F49EE">
        <w:trPr>
          <w:cantSplit/>
        </w:trPr>
        <w:tc>
          <w:tcPr>
            <w:tcW w:w="0" w:type="auto"/>
            <w:shd w:val="clear" w:color="auto" w:fill="auto"/>
            <w:tcMar>
              <w:top w:w="91" w:type="dxa"/>
              <w:left w:w="108" w:type="dxa"/>
              <w:bottom w:w="28" w:type="dxa"/>
              <w:right w:w="108" w:type="dxa"/>
            </w:tcMar>
          </w:tcPr>
          <w:p w14:paraId="1E6AF2A8" w14:textId="41DAC487" w:rsidR="00812DAC" w:rsidRPr="004C7770" w:rsidRDefault="00812DAC" w:rsidP="007B1179">
            <w:pPr>
              <w:rPr>
                <w:b/>
                <w:bCs/>
              </w:rPr>
            </w:pPr>
            <w:r w:rsidRPr="004C7770">
              <w:rPr>
                <w:b/>
                <w:bCs/>
              </w:rPr>
              <w:t>Fee in Lieu of Commission</w:t>
            </w:r>
            <w:r w:rsidR="004C7770" w:rsidRPr="004C7770">
              <w:rPr>
                <w:b/>
                <w:bCs/>
              </w:rPr>
              <w:t xml:space="preserve"> (FIL)</w:t>
            </w:r>
          </w:p>
        </w:tc>
        <w:tc>
          <w:tcPr>
            <w:tcW w:w="0" w:type="auto"/>
            <w:shd w:val="clear" w:color="auto" w:fill="auto"/>
            <w:tcMar>
              <w:top w:w="60" w:type="dxa"/>
              <w:left w:w="108" w:type="dxa"/>
              <w:bottom w:w="40" w:type="dxa"/>
              <w:right w:w="108" w:type="dxa"/>
            </w:tcMar>
            <w:vAlign w:val="center"/>
          </w:tcPr>
          <w:p w14:paraId="07EBCBEF" w14:textId="5A3705E9" w:rsidR="00812DAC" w:rsidRPr="004C7770" w:rsidRDefault="00812DAC" w:rsidP="007B1179">
            <w:r w:rsidRPr="004C7770">
              <w:t>We charge a fee for our service in place of the commission we would have received from the Insurer with whom the insurance is placed. Whenever this applies the fee charged will be agreed with the Insured in advance and will be detailed in any quotation we provide to the Insured.</w:t>
            </w:r>
          </w:p>
        </w:tc>
      </w:tr>
      <w:tr w:rsidR="00812DAC" w:rsidRPr="004C7770" w14:paraId="138A7304" w14:textId="77777777" w:rsidTr="002F49EE">
        <w:trPr>
          <w:cantSplit/>
        </w:trPr>
        <w:tc>
          <w:tcPr>
            <w:tcW w:w="0" w:type="auto"/>
            <w:shd w:val="clear" w:color="auto" w:fill="auto"/>
            <w:tcMar>
              <w:top w:w="91" w:type="dxa"/>
              <w:left w:w="108" w:type="dxa"/>
              <w:bottom w:w="28" w:type="dxa"/>
              <w:right w:w="108" w:type="dxa"/>
            </w:tcMar>
          </w:tcPr>
          <w:p w14:paraId="2CE8D43F" w14:textId="69B20432" w:rsidR="00812DAC" w:rsidRPr="004C7770" w:rsidRDefault="00812DAC" w:rsidP="007B1179">
            <w:pPr>
              <w:rPr>
                <w:b/>
                <w:bCs/>
              </w:rPr>
            </w:pPr>
            <w:r w:rsidRPr="004C7770">
              <w:rPr>
                <w:b/>
                <w:bCs/>
              </w:rPr>
              <w:t>Insurance Service Brokerage</w:t>
            </w:r>
            <w:r w:rsidR="004C7770" w:rsidRPr="004C7770">
              <w:rPr>
                <w:b/>
                <w:bCs/>
              </w:rPr>
              <w:t xml:space="preserve"> (ISB)</w:t>
            </w:r>
          </w:p>
        </w:tc>
        <w:tc>
          <w:tcPr>
            <w:tcW w:w="0" w:type="auto"/>
            <w:shd w:val="clear" w:color="auto" w:fill="auto"/>
            <w:tcMar>
              <w:top w:w="60" w:type="dxa"/>
              <w:left w:w="108" w:type="dxa"/>
              <w:bottom w:w="40" w:type="dxa"/>
              <w:right w:w="108" w:type="dxa"/>
            </w:tcMar>
            <w:vAlign w:val="center"/>
          </w:tcPr>
          <w:p w14:paraId="7B2347E7" w14:textId="5A213262" w:rsidR="00812DAC" w:rsidRPr="004C7770" w:rsidRDefault="00812DAC" w:rsidP="007B1179">
            <w:r w:rsidRPr="004C7770">
              <w:t xml:space="preserve">Where a FIL is agreed with you, we will also receive an ISB from Insurers to fund administrative work that we undertake on their behalf </w:t>
            </w:r>
            <w:r w:rsidRPr="00C31C5C">
              <w:t>(calculated as a small percentage of your premium</w:t>
            </w:r>
            <w:r w:rsidR="00D17E12" w:rsidRPr="00C31C5C">
              <w:t xml:space="preserve"> and paid by insurers</w:t>
            </w:r>
            <w:r w:rsidRPr="00C31C5C">
              <w:t>).</w:t>
            </w:r>
          </w:p>
        </w:tc>
      </w:tr>
      <w:tr w:rsidR="00812DAC" w:rsidRPr="004C7770" w14:paraId="606547F4" w14:textId="77777777" w:rsidTr="002F49EE">
        <w:trPr>
          <w:cantSplit/>
        </w:trPr>
        <w:tc>
          <w:tcPr>
            <w:tcW w:w="0" w:type="auto"/>
            <w:shd w:val="clear" w:color="auto" w:fill="auto"/>
            <w:tcMar>
              <w:top w:w="91" w:type="dxa"/>
              <w:left w:w="108" w:type="dxa"/>
              <w:bottom w:w="28" w:type="dxa"/>
              <w:right w:w="108" w:type="dxa"/>
            </w:tcMar>
          </w:tcPr>
          <w:p w14:paraId="471F61B9" w14:textId="28863329" w:rsidR="00812DAC" w:rsidRPr="004C7770" w:rsidRDefault="00812DAC" w:rsidP="007B1179">
            <w:pPr>
              <w:rPr>
                <w:b/>
                <w:bCs/>
              </w:rPr>
            </w:pPr>
            <w:r w:rsidRPr="004C7770">
              <w:rPr>
                <w:b/>
                <w:bCs/>
              </w:rPr>
              <w:lastRenderedPageBreak/>
              <w:t xml:space="preserve">Profit Share OR Profit/Growth OR Over-Rider </w:t>
            </w:r>
          </w:p>
        </w:tc>
        <w:tc>
          <w:tcPr>
            <w:tcW w:w="0" w:type="auto"/>
            <w:shd w:val="clear" w:color="auto" w:fill="auto"/>
            <w:tcMar>
              <w:top w:w="60" w:type="dxa"/>
              <w:left w:w="108" w:type="dxa"/>
              <w:bottom w:w="40" w:type="dxa"/>
              <w:right w:w="108" w:type="dxa"/>
            </w:tcMar>
            <w:vAlign w:val="center"/>
          </w:tcPr>
          <w:p w14:paraId="19F4D392" w14:textId="13BFABD4" w:rsidR="00812DAC" w:rsidRPr="004C7770" w:rsidRDefault="00812DAC" w:rsidP="007B1179">
            <w:r w:rsidRPr="00C31C5C">
              <w:t xml:space="preserve">The insurer will provide us with additional income in respect of the insurance policy </w:t>
            </w:r>
            <w:r w:rsidR="00BF1170" w:rsidRPr="00C31C5C">
              <w:t>because the overall account for this type of insurance has performed well</w:t>
            </w:r>
            <w:r w:rsidR="00C31C5C" w:rsidRPr="00C31C5C">
              <w:t xml:space="preserve">. </w:t>
            </w:r>
            <w:r w:rsidRPr="00C31C5C">
              <w:t xml:space="preserve">This </w:t>
            </w:r>
            <w:r w:rsidRPr="004C7770">
              <w:t>will normally be calculated as a small percentage of our whole account which, depending on the profitability of the insurance policy, can be calculated as a percentage of the total annual premium paid (excluding Insurance Premium Tax (IPT))</w:t>
            </w:r>
          </w:p>
        </w:tc>
      </w:tr>
      <w:tr w:rsidR="00812DAC" w:rsidRPr="004C7770" w14:paraId="11C5EC79" w14:textId="77777777" w:rsidTr="002F49EE">
        <w:trPr>
          <w:cantSplit/>
        </w:trPr>
        <w:tc>
          <w:tcPr>
            <w:tcW w:w="0" w:type="auto"/>
            <w:shd w:val="clear" w:color="auto" w:fill="auto"/>
            <w:tcMar>
              <w:top w:w="91" w:type="dxa"/>
              <w:left w:w="108" w:type="dxa"/>
              <w:bottom w:w="28" w:type="dxa"/>
              <w:right w:w="108" w:type="dxa"/>
            </w:tcMar>
          </w:tcPr>
          <w:p w14:paraId="5CD060AD" w14:textId="710D94E0" w:rsidR="00812DAC" w:rsidRPr="004C7770" w:rsidRDefault="00812DAC" w:rsidP="007B1179">
            <w:pPr>
              <w:rPr>
                <w:b/>
                <w:bCs/>
              </w:rPr>
            </w:pPr>
            <w:r w:rsidRPr="004C7770">
              <w:rPr>
                <w:b/>
                <w:bCs/>
              </w:rPr>
              <w:t xml:space="preserve">Fee for Services </w:t>
            </w:r>
          </w:p>
        </w:tc>
        <w:tc>
          <w:tcPr>
            <w:tcW w:w="0" w:type="auto"/>
            <w:shd w:val="clear" w:color="auto" w:fill="auto"/>
            <w:tcMar>
              <w:top w:w="60" w:type="dxa"/>
              <w:left w:w="108" w:type="dxa"/>
              <w:bottom w:w="40" w:type="dxa"/>
              <w:right w:w="108" w:type="dxa"/>
            </w:tcMar>
            <w:vAlign w:val="center"/>
          </w:tcPr>
          <w:p w14:paraId="4119B1C7" w14:textId="3C9B00FF" w:rsidR="00812DAC" w:rsidRPr="004C7770" w:rsidRDefault="00812DAC" w:rsidP="007B1179">
            <w:r w:rsidRPr="004C7770">
              <w:t>We receive a flat fee from the insurer for services that we carry out on their behalf in respect of the strategic management of their account</w:t>
            </w:r>
            <w:r w:rsidR="00C31C5C">
              <w:t>.</w:t>
            </w:r>
          </w:p>
        </w:tc>
      </w:tr>
      <w:tr w:rsidR="00812DAC" w:rsidRPr="004C7770" w14:paraId="5CB5F330" w14:textId="77777777" w:rsidTr="002F49EE">
        <w:trPr>
          <w:cantSplit/>
        </w:trPr>
        <w:tc>
          <w:tcPr>
            <w:tcW w:w="0" w:type="auto"/>
            <w:shd w:val="clear" w:color="auto" w:fill="auto"/>
            <w:tcMar>
              <w:top w:w="91" w:type="dxa"/>
              <w:left w:w="108" w:type="dxa"/>
              <w:bottom w:w="28" w:type="dxa"/>
              <w:right w:w="108" w:type="dxa"/>
            </w:tcMar>
          </w:tcPr>
          <w:p w14:paraId="6032664B" w14:textId="4B3F6EF9" w:rsidR="00812DAC" w:rsidRPr="004C7770" w:rsidRDefault="00812DAC" w:rsidP="007B1179">
            <w:pPr>
              <w:rPr>
                <w:b/>
                <w:bCs/>
              </w:rPr>
            </w:pPr>
            <w:r w:rsidRPr="004C7770">
              <w:rPr>
                <w:b/>
                <w:bCs/>
              </w:rPr>
              <w:t>Work Transfer</w:t>
            </w:r>
          </w:p>
        </w:tc>
        <w:tc>
          <w:tcPr>
            <w:tcW w:w="0" w:type="auto"/>
            <w:shd w:val="clear" w:color="auto" w:fill="auto"/>
            <w:tcMar>
              <w:top w:w="60" w:type="dxa"/>
              <w:left w:w="108" w:type="dxa"/>
              <w:bottom w:w="40" w:type="dxa"/>
              <w:right w:w="108" w:type="dxa"/>
            </w:tcMar>
            <w:vAlign w:val="center"/>
          </w:tcPr>
          <w:p w14:paraId="088B2277" w14:textId="321022FE" w:rsidR="00812DAC" w:rsidRPr="004C7770" w:rsidRDefault="00812DAC" w:rsidP="007B1179">
            <w:r w:rsidRPr="004C7770">
              <w:t xml:space="preserve">The insurer will provide us with additional income in respect of the insurance policy for additional work which we undertake on their behalf, such as additional processing, production of policy documentation, management and development of a specific facility. This is normally calculated as a percentage of the premium paid (excluding Insurance Premium Tax (IPT)). </w:t>
            </w:r>
          </w:p>
        </w:tc>
      </w:tr>
      <w:tr w:rsidR="00812DAC" w:rsidRPr="004C7770" w14:paraId="5D10A63A" w14:textId="77777777" w:rsidTr="002F49EE">
        <w:trPr>
          <w:cantSplit/>
        </w:trPr>
        <w:tc>
          <w:tcPr>
            <w:tcW w:w="0" w:type="auto"/>
            <w:shd w:val="clear" w:color="auto" w:fill="auto"/>
            <w:tcMar>
              <w:top w:w="91" w:type="dxa"/>
              <w:left w:w="108" w:type="dxa"/>
              <w:bottom w:w="28" w:type="dxa"/>
              <w:right w:w="108" w:type="dxa"/>
            </w:tcMar>
          </w:tcPr>
          <w:p w14:paraId="08234211" w14:textId="62C5DBFB" w:rsidR="00812DAC" w:rsidRPr="004C7770" w:rsidRDefault="00812DAC" w:rsidP="007B1179">
            <w:pPr>
              <w:rPr>
                <w:b/>
                <w:bCs/>
              </w:rPr>
            </w:pPr>
            <w:r w:rsidRPr="004C7770">
              <w:rPr>
                <w:b/>
                <w:bCs/>
              </w:rPr>
              <w:t>Referral Payments</w:t>
            </w:r>
          </w:p>
        </w:tc>
        <w:tc>
          <w:tcPr>
            <w:tcW w:w="0" w:type="auto"/>
            <w:shd w:val="clear" w:color="auto" w:fill="auto"/>
            <w:tcMar>
              <w:top w:w="60" w:type="dxa"/>
              <w:left w:w="108" w:type="dxa"/>
              <w:bottom w:w="40" w:type="dxa"/>
              <w:right w:w="108" w:type="dxa"/>
            </w:tcMar>
            <w:vAlign w:val="center"/>
          </w:tcPr>
          <w:p w14:paraId="4BAA3DC6" w14:textId="301B3C9F" w:rsidR="00812DAC" w:rsidRPr="004C7770" w:rsidRDefault="00812DAC" w:rsidP="007B1179">
            <w:r w:rsidRPr="004C7770">
              <w:t xml:space="preserve">During the duration of the </w:t>
            </w:r>
            <w:proofErr w:type="gramStart"/>
            <w:r w:rsidRPr="004C7770">
              <w:t>policy</w:t>
            </w:r>
            <w:proofErr w:type="gramEnd"/>
            <w:r w:rsidRPr="004C7770">
              <w:t xml:space="preserve"> we may have cause to liaise with a company to assist with a claim in connection with the insurance policy. Where this occurs, we will receive a small flat fee from that company which may or may not be the insurer of this policy.</w:t>
            </w:r>
          </w:p>
        </w:tc>
      </w:tr>
    </w:tbl>
    <w:bookmarkEnd w:id="4"/>
    <w:p w14:paraId="6123690C" w14:textId="77777777" w:rsidR="00C746F7" w:rsidRPr="004C7770" w:rsidRDefault="00C746F7" w:rsidP="00B16CE0">
      <w:pPr>
        <w:pStyle w:val="ListParagraph"/>
        <w:keepNext/>
        <w:numPr>
          <w:ilvl w:val="0"/>
          <w:numId w:val="1"/>
        </w:numPr>
        <w:spacing w:beforeLines="120" w:before="288" w:afterLines="120" w:after="288"/>
        <w:ind w:left="357" w:hanging="357"/>
        <w:rPr>
          <w:b/>
          <w:bCs/>
          <w:lang w:eastAsia="en-GB"/>
        </w:rPr>
      </w:pPr>
      <w:r w:rsidRPr="004C7770">
        <w:rPr>
          <w:b/>
          <w:bCs/>
          <w:lang w:eastAsia="en-GB"/>
        </w:rPr>
        <w:t>Placement and shopping around information</w:t>
      </w:r>
    </w:p>
    <w:tbl>
      <w:tblPr>
        <w:tblStyle w:val="TableGrid"/>
        <w:tblW w:w="0" w:type="auto"/>
        <w:tblLook w:val="04A0" w:firstRow="1" w:lastRow="0" w:firstColumn="1" w:lastColumn="0" w:noHBand="0" w:noVBand="1"/>
      </w:tblPr>
      <w:tblGrid>
        <w:gridCol w:w="2733"/>
        <w:gridCol w:w="3451"/>
        <w:gridCol w:w="2832"/>
      </w:tblGrid>
      <w:tr w:rsidR="00B16CE0" w:rsidRPr="004C7770" w14:paraId="4D99D6A1" w14:textId="77777777" w:rsidTr="00B16CE0">
        <w:tc>
          <w:tcPr>
            <w:tcW w:w="2733" w:type="dxa"/>
          </w:tcPr>
          <w:p w14:paraId="613CBD12" w14:textId="77777777" w:rsidR="00C746F7" w:rsidRPr="004C7770" w:rsidRDefault="00C746F7" w:rsidP="007B1179">
            <w:pPr>
              <w:rPr>
                <w:sz w:val="22"/>
                <w:szCs w:val="22"/>
              </w:rPr>
            </w:pPr>
            <w:r w:rsidRPr="004C7770">
              <w:rPr>
                <w:sz w:val="22"/>
                <w:szCs w:val="22"/>
              </w:rPr>
              <w:t>Policy</w:t>
            </w:r>
          </w:p>
        </w:tc>
        <w:tc>
          <w:tcPr>
            <w:tcW w:w="3451" w:type="dxa"/>
          </w:tcPr>
          <w:p w14:paraId="722E4376" w14:textId="07AD8E50" w:rsidR="00C746F7" w:rsidRPr="004C7770" w:rsidRDefault="00C746F7" w:rsidP="007B1179">
            <w:pPr>
              <w:rPr>
                <w:sz w:val="22"/>
                <w:szCs w:val="22"/>
              </w:rPr>
            </w:pPr>
            <w:r w:rsidRPr="004C7770">
              <w:rPr>
                <w:sz w:val="22"/>
                <w:szCs w:val="22"/>
              </w:rPr>
              <w:t xml:space="preserve">How many quotes did we get from the </w:t>
            </w:r>
            <w:r w:rsidR="00A37C2F" w:rsidRPr="004C7770">
              <w:rPr>
                <w:sz w:val="22"/>
                <w:szCs w:val="22"/>
              </w:rPr>
              <w:t>current/proposed insurer?</w:t>
            </w:r>
          </w:p>
        </w:tc>
        <w:tc>
          <w:tcPr>
            <w:tcW w:w="2832" w:type="dxa"/>
          </w:tcPr>
          <w:p w14:paraId="73DF0398" w14:textId="77777777" w:rsidR="00C746F7" w:rsidRPr="004C7770" w:rsidRDefault="00C746F7" w:rsidP="007B1179">
            <w:pPr>
              <w:rPr>
                <w:sz w:val="22"/>
                <w:szCs w:val="22"/>
              </w:rPr>
            </w:pPr>
            <w:r w:rsidRPr="004C7770">
              <w:rPr>
                <w:sz w:val="22"/>
                <w:szCs w:val="22"/>
              </w:rPr>
              <w:t>How many quotes did we get from other insurers?</w:t>
            </w:r>
          </w:p>
        </w:tc>
      </w:tr>
      <w:tr w:rsidR="00B16CE0" w:rsidRPr="004C7770" w14:paraId="58E52AB2" w14:textId="77777777" w:rsidTr="00B16CE0">
        <w:tc>
          <w:tcPr>
            <w:tcW w:w="2733" w:type="dxa"/>
            <w:shd w:val="clear" w:color="auto" w:fill="auto"/>
          </w:tcPr>
          <w:p w14:paraId="21CBB46F" w14:textId="47789122" w:rsidR="00C746F7" w:rsidRPr="004C7770" w:rsidRDefault="006A4D25" w:rsidP="007B1179">
            <w:pPr>
              <w:rPr>
                <w:sz w:val="22"/>
                <w:szCs w:val="22"/>
                <w:highlight w:val="green"/>
              </w:rPr>
            </w:pPr>
            <w:r w:rsidRPr="004C7770">
              <w:rPr>
                <w:sz w:val="22"/>
                <w:szCs w:val="22"/>
                <w:highlight w:val="green"/>
              </w:rPr>
              <w:t>[insert name of policy]</w:t>
            </w:r>
          </w:p>
        </w:tc>
        <w:tc>
          <w:tcPr>
            <w:tcW w:w="3451" w:type="dxa"/>
            <w:shd w:val="clear" w:color="auto" w:fill="auto"/>
          </w:tcPr>
          <w:p w14:paraId="1ED5C6EA" w14:textId="79ACD55E" w:rsidR="00C746F7" w:rsidRPr="004C7770" w:rsidRDefault="00B16CE0" w:rsidP="007B1179">
            <w:pPr>
              <w:rPr>
                <w:sz w:val="22"/>
                <w:szCs w:val="22"/>
                <w:highlight w:val="green"/>
              </w:rPr>
            </w:pPr>
            <w:r w:rsidRPr="004C7770">
              <w:rPr>
                <w:sz w:val="22"/>
                <w:szCs w:val="22"/>
                <w:highlight w:val="green"/>
              </w:rPr>
              <w:t>[insert number of quotes]</w:t>
            </w:r>
          </w:p>
        </w:tc>
        <w:tc>
          <w:tcPr>
            <w:tcW w:w="2832" w:type="dxa"/>
            <w:shd w:val="clear" w:color="auto" w:fill="auto"/>
          </w:tcPr>
          <w:p w14:paraId="0A3CC884" w14:textId="0B14B20D" w:rsidR="00C746F7" w:rsidRPr="004C7770" w:rsidRDefault="00B16CE0" w:rsidP="007B1179">
            <w:pPr>
              <w:rPr>
                <w:sz w:val="22"/>
                <w:szCs w:val="22"/>
                <w:highlight w:val="green"/>
              </w:rPr>
            </w:pPr>
            <w:r w:rsidRPr="004C7770">
              <w:rPr>
                <w:sz w:val="22"/>
                <w:szCs w:val="22"/>
                <w:highlight w:val="green"/>
              </w:rPr>
              <w:t>[insert number of quotes]</w:t>
            </w:r>
          </w:p>
        </w:tc>
      </w:tr>
    </w:tbl>
    <w:p w14:paraId="39FFACF9" w14:textId="6949F629" w:rsidR="00C746F7" w:rsidRPr="004C7770" w:rsidRDefault="00C746F7" w:rsidP="00B16CE0">
      <w:pPr>
        <w:spacing w:beforeLines="120" w:before="288" w:afterLines="120" w:after="288"/>
        <w:rPr>
          <w:b/>
          <w:bCs/>
          <w:i/>
          <w:iCs/>
        </w:rPr>
      </w:pPr>
      <w:r w:rsidRPr="004C7770">
        <w:t xml:space="preserve">The policy taken out was consistent with the interest of both the Insured (the customer) and the leaseholders holding a lease with the </w:t>
      </w:r>
      <w:r w:rsidR="00D838E8" w:rsidRPr="004C7770">
        <w:t>customer [</w:t>
      </w:r>
      <w:r w:rsidRPr="004C7770">
        <w:rPr>
          <w:i/>
          <w:iCs/>
          <w:highlight w:val="green"/>
        </w:rPr>
        <w:t>insert reason here e.g. as it is placed with a reputable insurer who in our experience has good claims handling service, the cover includes alternative accommodation for leaseholders and loss of rent cover for the Insured].</w:t>
      </w:r>
      <w:r w:rsidRPr="004C7770">
        <w:rPr>
          <w:i/>
          <w:iCs/>
        </w:rPr>
        <w:t xml:space="preserve"> </w:t>
      </w:r>
    </w:p>
    <w:p w14:paraId="0A7BEEFF" w14:textId="77777777" w:rsidR="00C746F7" w:rsidRPr="004C7770" w:rsidRDefault="00C746F7" w:rsidP="00B16CE0">
      <w:pPr>
        <w:pStyle w:val="ListParagraph"/>
        <w:keepNext/>
        <w:numPr>
          <w:ilvl w:val="0"/>
          <w:numId w:val="1"/>
        </w:numPr>
        <w:spacing w:beforeLines="120" w:before="288" w:afterLines="120" w:after="288"/>
        <w:ind w:left="357" w:hanging="357"/>
        <w:rPr>
          <w:b/>
          <w:bCs/>
          <w:lang w:eastAsia="en-GB"/>
        </w:rPr>
      </w:pPr>
      <w:r w:rsidRPr="004C7770">
        <w:rPr>
          <w:b/>
          <w:bCs/>
          <w:lang w:eastAsia="en-GB"/>
        </w:rPr>
        <w:t>Information about us and who we are acting on behalf of</w:t>
      </w:r>
    </w:p>
    <w:p w14:paraId="5904F68C" w14:textId="5DCE74AA" w:rsidR="00C746F7" w:rsidRPr="004C7770" w:rsidRDefault="00C746F7" w:rsidP="00B16CE0">
      <w:pPr>
        <w:spacing w:beforeLines="120" w:before="288" w:afterLines="120" w:after="288"/>
      </w:pPr>
      <w:r w:rsidRPr="004C7770">
        <w:t xml:space="preserve">It is important that we clearly identify areas where conflicts of interest might arise so that you can be </w:t>
      </w:r>
      <w:proofErr w:type="gramStart"/>
      <w:r w:rsidRPr="004C7770">
        <w:t>satisfied</w:t>
      </w:r>
      <w:proofErr w:type="gramEnd"/>
      <w:r w:rsidRPr="004C7770">
        <w:t xml:space="preserve"> we have taken steps to manage these. For example, we may operate an insurance scheme where we have authority to act as the insurer in </w:t>
      </w:r>
      <w:r w:rsidRPr="00C31C5C">
        <w:t>setting</w:t>
      </w:r>
      <w:r w:rsidR="00BF1170" w:rsidRPr="00C31C5C">
        <w:t xml:space="preserve"> the</w:t>
      </w:r>
      <w:r w:rsidRPr="00C31C5C">
        <w:t xml:space="preserve"> premium </w:t>
      </w:r>
      <w:r w:rsidRPr="004C7770">
        <w:t>or handling claims. In such circumstances, we are legally the agent of the insurer for some aspects of the transaction and your agent for others.</w:t>
      </w:r>
    </w:p>
    <w:tbl>
      <w:tblPr>
        <w:tblStyle w:val="TableGrid"/>
        <w:tblW w:w="8876" w:type="dxa"/>
        <w:tblLook w:val="04A0" w:firstRow="1" w:lastRow="0" w:firstColumn="1" w:lastColumn="0" w:noHBand="0" w:noVBand="1"/>
      </w:tblPr>
      <w:tblGrid>
        <w:gridCol w:w="2904"/>
        <w:gridCol w:w="1743"/>
        <w:gridCol w:w="1743"/>
        <w:gridCol w:w="2486"/>
      </w:tblGrid>
      <w:tr w:rsidR="00C746F7" w:rsidRPr="004C7770" w14:paraId="1E03128F" w14:textId="77777777" w:rsidTr="00C31C5C">
        <w:tc>
          <w:tcPr>
            <w:tcW w:w="2904" w:type="dxa"/>
          </w:tcPr>
          <w:p w14:paraId="2E734C07" w14:textId="77777777" w:rsidR="00C746F7" w:rsidRPr="004C7770" w:rsidRDefault="00C746F7" w:rsidP="004C7770">
            <w:pPr>
              <w:rPr>
                <w:sz w:val="22"/>
                <w:szCs w:val="22"/>
              </w:rPr>
            </w:pPr>
            <w:r w:rsidRPr="004C7770">
              <w:rPr>
                <w:sz w:val="22"/>
                <w:szCs w:val="22"/>
              </w:rPr>
              <w:t>Policy</w:t>
            </w:r>
          </w:p>
        </w:tc>
        <w:tc>
          <w:tcPr>
            <w:tcW w:w="1743" w:type="dxa"/>
          </w:tcPr>
          <w:p w14:paraId="183862FD" w14:textId="38CA938F" w:rsidR="00C746F7" w:rsidRPr="004C7770" w:rsidRDefault="00C746F7" w:rsidP="004C7770">
            <w:pPr>
              <w:rPr>
                <w:sz w:val="22"/>
                <w:szCs w:val="22"/>
              </w:rPr>
            </w:pPr>
            <w:r w:rsidRPr="004C7770">
              <w:rPr>
                <w:sz w:val="22"/>
                <w:szCs w:val="22"/>
              </w:rPr>
              <w:t xml:space="preserve">Sourcing </w:t>
            </w:r>
            <w:r w:rsidR="00B16CE0" w:rsidRPr="004C7770">
              <w:rPr>
                <w:sz w:val="22"/>
                <w:szCs w:val="22"/>
              </w:rPr>
              <w:t>the</w:t>
            </w:r>
            <w:r w:rsidRPr="004C7770">
              <w:rPr>
                <w:sz w:val="22"/>
                <w:szCs w:val="22"/>
              </w:rPr>
              <w:t xml:space="preserve"> policy – we act on behalf of </w:t>
            </w:r>
          </w:p>
        </w:tc>
        <w:tc>
          <w:tcPr>
            <w:tcW w:w="1743" w:type="dxa"/>
          </w:tcPr>
          <w:p w14:paraId="463A5176" w14:textId="6FDC2773" w:rsidR="00C746F7" w:rsidRPr="004C7770" w:rsidRDefault="00C746F7" w:rsidP="004C7770">
            <w:pPr>
              <w:rPr>
                <w:sz w:val="22"/>
                <w:szCs w:val="22"/>
              </w:rPr>
            </w:pPr>
            <w:r w:rsidRPr="004C7770">
              <w:rPr>
                <w:sz w:val="22"/>
                <w:szCs w:val="22"/>
              </w:rPr>
              <w:t xml:space="preserve">Placing </w:t>
            </w:r>
            <w:r w:rsidR="00B16CE0" w:rsidRPr="004C7770">
              <w:rPr>
                <w:sz w:val="22"/>
                <w:szCs w:val="22"/>
              </w:rPr>
              <w:t xml:space="preserve">the </w:t>
            </w:r>
            <w:r w:rsidRPr="004C7770">
              <w:rPr>
                <w:sz w:val="22"/>
                <w:szCs w:val="22"/>
              </w:rPr>
              <w:t>policy – we act on behalf of:</w:t>
            </w:r>
          </w:p>
        </w:tc>
        <w:tc>
          <w:tcPr>
            <w:tcW w:w="2486" w:type="dxa"/>
          </w:tcPr>
          <w:p w14:paraId="4653F5A2" w14:textId="77777777" w:rsidR="00C746F7" w:rsidRPr="004C7770" w:rsidRDefault="00C746F7" w:rsidP="004C7770">
            <w:pPr>
              <w:rPr>
                <w:sz w:val="22"/>
                <w:szCs w:val="22"/>
              </w:rPr>
            </w:pPr>
            <w:r w:rsidRPr="004C7770">
              <w:rPr>
                <w:sz w:val="22"/>
                <w:szCs w:val="22"/>
              </w:rPr>
              <w:t>Claims Activity – we act on behalf of</w:t>
            </w:r>
          </w:p>
        </w:tc>
      </w:tr>
      <w:tr w:rsidR="00C746F7" w:rsidRPr="004C7770" w14:paraId="098A911F" w14:textId="77777777" w:rsidTr="00C31C5C">
        <w:tc>
          <w:tcPr>
            <w:tcW w:w="2904" w:type="dxa"/>
          </w:tcPr>
          <w:p w14:paraId="1762D389" w14:textId="39E96C03" w:rsidR="00C746F7" w:rsidRPr="00C31C5C" w:rsidRDefault="00C31C5C" w:rsidP="004C7770">
            <w:pPr>
              <w:rPr>
                <w:sz w:val="22"/>
                <w:szCs w:val="22"/>
                <w:highlight w:val="green"/>
              </w:rPr>
            </w:pPr>
            <w:r w:rsidRPr="00C31C5C">
              <w:rPr>
                <w:sz w:val="22"/>
                <w:szCs w:val="22"/>
                <w:highlight w:val="green"/>
              </w:rPr>
              <w:t>X</w:t>
            </w:r>
          </w:p>
        </w:tc>
        <w:tc>
          <w:tcPr>
            <w:tcW w:w="1743" w:type="dxa"/>
          </w:tcPr>
          <w:p w14:paraId="4559F4D4" w14:textId="77777777" w:rsidR="00C746F7" w:rsidRPr="00C31C5C" w:rsidRDefault="00C746F7" w:rsidP="004C7770">
            <w:pPr>
              <w:rPr>
                <w:sz w:val="22"/>
                <w:szCs w:val="22"/>
                <w:highlight w:val="green"/>
              </w:rPr>
            </w:pPr>
            <w:r w:rsidRPr="00C31C5C">
              <w:rPr>
                <w:sz w:val="22"/>
                <w:szCs w:val="22"/>
                <w:highlight w:val="green"/>
              </w:rPr>
              <w:t>Insured/Insurer</w:t>
            </w:r>
          </w:p>
        </w:tc>
        <w:tc>
          <w:tcPr>
            <w:tcW w:w="1743" w:type="dxa"/>
          </w:tcPr>
          <w:p w14:paraId="27123C7D" w14:textId="77777777" w:rsidR="00C746F7" w:rsidRPr="00C31C5C" w:rsidRDefault="00C746F7" w:rsidP="004C7770">
            <w:pPr>
              <w:rPr>
                <w:sz w:val="22"/>
                <w:szCs w:val="22"/>
                <w:highlight w:val="green"/>
              </w:rPr>
            </w:pPr>
            <w:r w:rsidRPr="00C31C5C">
              <w:rPr>
                <w:sz w:val="22"/>
                <w:szCs w:val="22"/>
                <w:highlight w:val="green"/>
              </w:rPr>
              <w:t>Insured/Insurer</w:t>
            </w:r>
          </w:p>
        </w:tc>
        <w:tc>
          <w:tcPr>
            <w:tcW w:w="2486" w:type="dxa"/>
          </w:tcPr>
          <w:p w14:paraId="01A7483A" w14:textId="77777777" w:rsidR="00C746F7" w:rsidRPr="00C31C5C" w:rsidRDefault="00C746F7" w:rsidP="004C7770">
            <w:pPr>
              <w:rPr>
                <w:sz w:val="22"/>
                <w:szCs w:val="22"/>
                <w:highlight w:val="green"/>
              </w:rPr>
            </w:pPr>
            <w:r w:rsidRPr="00C31C5C">
              <w:rPr>
                <w:sz w:val="22"/>
                <w:szCs w:val="22"/>
                <w:highlight w:val="green"/>
              </w:rPr>
              <w:t>Insured/Insurer</w:t>
            </w:r>
          </w:p>
        </w:tc>
      </w:tr>
    </w:tbl>
    <w:p w14:paraId="7C9B89A0" w14:textId="5C7049CB" w:rsidR="00C746F7" w:rsidRPr="004C7770" w:rsidRDefault="00C746F7" w:rsidP="00B16CE0">
      <w:pPr>
        <w:spacing w:beforeLines="120" w:before="288" w:afterLines="120" w:after="288"/>
      </w:pPr>
      <w:r w:rsidRPr="004C7770">
        <w:t>We do not have voting rights or capital representing 10% or more in any Insurer</w:t>
      </w:r>
      <w:r w:rsidR="00A37C2F" w:rsidRPr="004C7770">
        <w:t>.</w:t>
      </w:r>
    </w:p>
    <w:p w14:paraId="549745C7" w14:textId="5821C2E9" w:rsidR="00A37C2F" w:rsidRPr="004C7770" w:rsidRDefault="00A37C2F" w:rsidP="00B16CE0">
      <w:pPr>
        <w:spacing w:beforeLines="120" w:before="288" w:afterLines="120" w:after="288"/>
      </w:pPr>
      <w:r w:rsidRPr="004C7770">
        <w:lastRenderedPageBreak/>
        <w:t xml:space="preserve">None of the insurers approached have voting rights or capital representing 10% or more in our firm. </w:t>
      </w:r>
    </w:p>
    <w:p w14:paraId="0645ACD0" w14:textId="65CDE579" w:rsidR="00B908B6" w:rsidRPr="004C7770" w:rsidRDefault="007B1179" w:rsidP="007B1179">
      <w:pPr>
        <w:pStyle w:val="Footer"/>
        <w:rPr>
          <w:rFonts w:ascii="Tahoma" w:hAnsi="Tahoma" w:cs="Tahoma"/>
          <w:color w:val="97D700"/>
        </w:rPr>
      </w:pPr>
      <w:r w:rsidRPr="004C7770">
        <w:rPr>
          <w:rFonts w:ascii="Tahoma" w:hAnsi="Tahoma" w:cs="Tahoma"/>
          <w:color w:val="97D700"/>
          <w:highlight w:val="yellow"/>
        </w:rPr>
        <w:t>Produced by Cobra Network compliance for use by Cobra Network members.</w:t>
      </w:r>
      <w:r w:rsidRPr="004C7770">
        <w:rPr>
          <w:rFonts w:ascii="Tahoma" w:hAnsi="Tahoma" w:cs="Tahoma"/>
          <w:color w:val="97D700"/>
          <w:highlight w:val="yellow"/>
        </w:rPr>
        <w:br/>
      </w:r>
    </w:p>
    <w:sectPr w:rsidR="00B908B6" w:rsidRPr="004C7770" w:rsidSect="00A37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3BE9"/>
    <w:multiLevelType w:val="hybridMultilevel"/>
    <w:tmpl w:val="F94EE92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68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7"/>
    <w:rsid w:val="000526A5"/>
    <w:rsid w:val="00067FFD"/>
    <w:rsid w:val="002F49EE"/>
    <w:rsid w:val="004C7770"/>
    <w:rsid w:val="0061350B"/>
    <w:rsid w:val="006A4D25"/>
    <w:rsid w:val="006B40AF"/>
    <w:rsid w:val="007B1179"/>
    <w:rsid w:val="00812DAC"/>
    <w:rsid w:val="00A37C2F"/>
    <w:rsid w:val="00B16CE0"/>
    <w:rsid w:val="00B908B6"/>
    <w:rsid w:val="00BF1170"/>
    <w:rsid w:val="00C31C5C"/>
    <w:rsid w:val="00C746F7"/>
    <w:rsid w:val="00D17E12"/>
    <w:rsid w:val="00D467B2"/>
    <w:rsid w:val="00D4741A"/>
    <w:rsid w:val="00D838E8"/>
    <w:rsid w:val="00DD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9975"/>
  <w15:chartTrackingRefBased/>
  <w15:docId w15:val="{3B036C41-0AE6-435A-8B1C-7D2BF16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CE0"/>
    <w:pPr>
      <w:spacing w:after="0" w:line="240" w:lineRule="auto"/>
    </w:pPr>
    <w:rPr>
      <w:rFonts w:ascii="Tahoma" w:eastAsia="Calibri" w:hAnsi="Tahoma" w:cs="Tahoma"/>
      <w:kern w:val="0"/>
      <w14:ligatures w14:val="none"/>
    </w:rPr>
  </w:style>
  <w:style w:type="paragraph" w:styleId="Heading1">
    <w:name w:val="heading 1"/>
    <w:basedOn w:val="Normal"/>
    <w:next w:val="Normal"/>
    <w:link w:val="Heading1Char"/>
    <w:uiPriority w:val="9"/>
    <w:qFormat/>
    <w:rsid w:val="00B16CE0"/>
    <w:pPr>
      <w:shd w:val="clear" w:color="auto" w:fill="97D7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6F7"/>
    <w:pPr>
      <w:spacing w:after="0" w:line="240" w:lineRule="auto"/>
    </w:pPr>
    <w:rPr>
      <w:rFonts w:ascii="Arial" w:hAnsi="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FFD"/>
    <w:pPr>
      <w:ind w:left="720"/>
      <w:contextualSpacing/>
    </w:pPr>
  </w:style>
  <w:style w:type="character" w:customStyle="1" w:styleId="Heading1Char">
    <w:name w:val="Heading 1 Char"/>
    <w:basedOn w:val="DefaultParagraphFont"/>
    <w:link w:val="Heading1"/>
    <w:uiPriority w:val="9"/>
    <w:rsid w:val="00B16CE0"/>
    <w:rPr>
      <w:rFonts w:ascii="Tahoma" w:eastAsia="Calibri" w:hAnsi="Tahoma" w:cs="Tahoma"/>
      <w:kern w:val="0"/>
      <w:sz w:val="28"/>
      <w:szCs w:val="28"/>
      <w:shd w:val="clear" w:color="auto" w:fill="97D700"/>
      <w14:ligatures w14:val="none"/>
    </w:rPr>
  </w:style>
  <w:style w:type="paragraph" w:styleId="Footer">
    <w:name w:val="footer"/>
    <w:basedOn w:val="Normal"/>
    <w:link w:val="FooterChar"/>
    <w:uiPriority w:val="99"/>
    <w:semiHidden/>
    <w:unhideWhenUsed/>
    <w:rsid w:val="007B1179"/>
    <w:pPr>
      <w:tabs>
        <w:tab w:val="center" w:pos="4513"/>
        <w:tab w:val="right" w:pos="9026"/>
      </w:tabs>
      <w:spacing w:after="200" w:line="276" w:lineRule="auto"/>
    </w:pPr>
    <w:rPr>
      <w:rFonts w:ascii="Calibri" w:hAnsi="Calibri" w:cs="Times New Roman"/>
    </w:rPr>
  </w:style>
  <w:style w:type="character" w:customStyle="1" w:styleId="FooterChar">
    <w:name w:val="Footer Char"/>
    <w:basedOn w:val="DefaultParagraphFont"/>
    <w:link w:val="Footer"/>
    <w:uiPriority w:val="99"/>
    <w:semiHidden/>
    <w:rsid w:val="007B1179"/>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D467B2"/>
    <w:rPr>
      <w:sz w:val="16"/>
      <w:szCs w:val="16"/>
    </w:rPr>
  </w:style>
  <w:style w:type="paragraph" w:styleId="CommentText">
    <w:name w:val="annotation text"/>
    <w:basedOn w:val="Normal"/>
    <w:link w:val="CommentTextChar"/>
    <w:uiPriority w:val="99"/>
    <w:unhideWhenUsed/>
    <w:rsid w:val="00D467B2"/>
    <w:rPr>
      <w:sz w:val="20"/>
      <w:szCs w:val="20"/>
    </w:rPr>
  </w:style>
  <w:style w:type="character" w:customStyle="1" w:styleId="CommentTextChar">
    <w:name w:val="Comment Text Char"/>
    <w:basedOn w:val="DefaultParagraphFont"/>
    <w:link w:val="CommentText"/>
    <w:uiPriority w:val="99"/>
    <w:rsid w:val="00D467B2"/>
    <w:rPr>
      <w:rFonts w:ascii="Tahoma" w:eastAsia="Calibri" w:hAnsi="Tahoma" w:cs="Tahom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467B2"/>
    <w:rPr>
      <w:b/>
      <w:bCs/>
    </w:rPr>
  </w:style>
  <w:style w:type="character" w:customStyle="1" w:styleId="CommentSubjectChar">
    <w:name w:val="Comment Subject Char"/>
    <w:basedOn w:val="CommentTextChar"/>
    <w:link w:val="CommentSubject"/>
    <w:uiPriority w:val="99"/>
    <w:semiHidden/>
    <w:rsid w:val="00D467B2"/>
    <w:rPr>
      <w:rFonts w:ascii="Tahoma" w:eastAsia="Calibri" w:hAnsi="Tahoma" w:cs="Tahom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5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2023-12-08T15:10:00Z</dcterms:created>
  <dcterms:modified xsi:type="dcterms:W3CDTF">2023-12-08T15:10:00Z</dcterms:modified>
</cp:coreProperties>
</file>