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62B19" w14:textId="2127D34B" w:rsidR="00090B14" w:rsidRPr="003A51E1" w:rsidRDefault="00090B14" w:rsidP="00D650DC">
      <w:pPr>
        <w:pStyle w:val="Title"/>
      </w:pPr>
      <w:r w:rsidRPr="003A51E1">
        <w:t xml:space="preserve">Renewal </w:t>
      </w:r>
      <w:r w:rsidR="00E24CF4" w:rsidRPr="003A51E1">
        <w:t>&amp;</w:t>
      </w:r>
      <w:r w:rsidRPr="003A51E1">
        <w:t xml:space="preserve"> New Business Letters</w:t>
      </w:r>
      <w:r w:rsidR="008A7C28" w:rsidRPr="003A51E1">
        <w:t xml:space="preserve"> </w:t>
      </w:r>
      <w:r w:rsidR="00E24CF4" w:rsidRPr="003A51E1">
        <w:t>(</w:t>
      </w:r>
      <w:r w:rsidR="00BC1675" w:rsidRPr="003A51E1">
        <w:t>Commercial Customers</w:t>
      </w:r>
      <w:r w:rsidR="00E24CF4" w:rsidRPr="003A51E1">
        <w:t>)</w:t>
      </w:r>
    </w:p>
    <w:p w14:paraId="47B4A8BE" w14:textId="3A104CA1" w:rsidR="00090B14" w:rsidRPr="00D650DC" w:rsidRDefault="00090B14" w:rsidP="00D650DC">
      <w:r w:rsidRPr="00D650DC">
        <w:t>Although C</w:t>
      </w:r>
      <w:r w:rsidR="00E24CF4" w:rsidRPr="00D650DC">
        <w:t>obra Network Compliance</w:t>
      </w:r>
      <w:r w:rsidRPr="00D650DC">
        <w:t xml:space="preserve"> do not produce standard letters</w:t>
      </w:r>
      <w:r w:rsidR="00DD7410" w:rsidRPr="00D650DC">
        <w:t>,</w:t>
      </w:r>
      <w:r w:rsidRPr="00D650DC">
        <w:t xml:space="preserve"> below is a list of the information that shou</w:t>
      </w:r>
      <w:r w:rsidR="00841748" w:rsidRPr="00D650DC">
        <w:t>ld be provided</w:t>
      </w:r>
      <w:r w:rsidR="00E24CF4" w:rsidRPr="00D650DC">
        <w:t xml:space="preserve"> from a regulatory and contract certainty perspective.  The exact format can be decided by your firm: </w:t>
      </w:r>
    </w:p>
    <w:tbl>
      <w:tblPr>
        <w:tblStyle w:val="TableGrid"/>
        <w:tblW w:w="9067" w:type="dxa"/>
        <w:tblLook w:val="04A0" w:firstRow="1" w:lastRow="0" w:firstColumn="1" w:lastColumn="0" w:noHBand="0" w:noVBand="1"/>
      </w:tblPr>
      <w:tblGrid>
        <w:gridCol w:w="9067"/>
      </w:tblGrid>
      <w:tr w:rsidR="001676C5" w14:paraId="54193E2C" w14:textId="77777777" w:rsidTr="00797894">
        <w:tc>
          <w:tcPr>
            <w:tcW w:w="9067" w:type="dxa"/>
            <w:shd w:val="clear" w:color="auto" w:fill="97D700"/>
          </w:tcPr>
          <w:p w14:paraId="1FAF5A01" w14:textId="27B9E182" w:rsidR="001676C5" w:rsidRPr="00797894" w:rsidRDefault="001676C5" w:rsidP="00D650DC">
            <w:pPr>
              <w:pStyle w:val="Heading1"/>
            </w:pPr>
            <w:r w:rsidRPr="00797894">
              <w:t>REGULATORY REQUIREMENTS</w:t>
            </w:r>
          </w:p>
        </w:tc>
      </w:tr>
      <w:tr w:rsidR="001676C5" w:rsidRPr="00034F80" w14:paraId="671EC178" w14:textId="77777777" w:rsidTr="001676C5">
        <w:tc>
          <w:tcPr>
            <w:tcW w:w="9067" w:type="dxa"/>
          </w:tcPr>
          <w:p w14:paraId="727BA34F" w14:textId="77777777" w:rsidR="001676C5" w:rsidRPr="00EE1D3D" w:rsidRDefault="001676C5" w:rsidP="00D650DC">
            <w:pPr>
              <w:pStyle w:val="Heading2"/>
            </w:pPr>
            <w:r w:rsidRPr="00EE1D3D">
              <w:t>TOBA</w:t>
            </w:r>
          </w:p>
          <w:p w14:paraId="0C34F3FB" w14:textId="18E78ABC" w:rsidR="001676C5" w:rsidRPr="00EE1D3D" w:rsidRDefault="001676C5" w:rsidP="00D650DC">
            <w:r w:rsidRPr="00EE1D3D">
              <w:t xml:space="preserve">The firm’s TOBA </w:t>
            </w:r>
            <w:r w:rsidR="00245295">
              <w:t>should</w:t>
            </w:r>
            <w:r w:rsidRPr="00EE1D3D">
              <w:t xml:space="preserve"> be issued </w:t>
            </w:r>
            <w:r w:rsidR="00245295">
              <w:t xml:space="preserve">prior to </w:t>
            </w:r>
            <w:r w:rsidRPr="00EE1D3D">
              <w:t xml:space="preserve">inception </w:t>
            </w:r>
            <w:r w:rsidR="0080538B" w:rsidRPr="00EE1D3D">
              <w:t>and</w:t>
            </w:r>
            <w:r w:rsidR="00E24CF4" w:rsidRPr="00EE1D3D">
              <w:t>,</w:t>
            </w:r>
            <w:r w:rsidR="0080538B" w:rsidRPr="00EE1D3D">
              <w:t xml:space="preserve"> if</w:t>
            </w:r>
            <w:r w:rsidRPr="00EE1D3D">
              <w:t xml:space="preserve"> there has been a change to the TOBA</w:t>
            </w:r>
            <w:r w:rsidR="00E24CF4" w:rsidRPr="00EE1D3D">
              <w:t>,</w:t>
            </w:r>
            <w:r w:rsidRPr="00EE1D3D">
              <w:t xml:space="preserve"> at renewal.  </w:t>
            </w:r>
          </w:p>
          <w:p w14:paraId="4899FCD8" w14:textId="0DB41800" w:rsidR="001676C5" w:rsidRPr="00EE1D3D" w:rsidRDefault="001676C5" w:rsidP="00D650DC">
            <w:r w:rsidRPr="00EE1D3D">
              <w:t>C</w:t>
            </w:r>
            <w:r w:rsidR="0080538B" w:rsidRPr="00EE1D3D">
              <w:t>obra</w:t>
            </w:r>
            <w:r w:rsidRPr="00EE1D3D">
              <w:t xml:space="preserve"> </w:t>
            </w:r>
            <w:r w:rsidR="00245295">
              <w:t xml:space="preserve">Network </w:t>
            </w:r>
            <w:r w:rsidRPr="00EE1D3D">
              <w:t xml:space="preserve">recommends that a TOBA is issued at </w:t>
            </w:r>
            <w:proofErr w:type="gramStart"/>
            <w:r w:rsidRPr="00EE1D3D">
              <w:t>renewal</w:t>
            </w:r>
            <w:proofErr w:type="gramEnd"/>
            <w:r w:rsidR="00E24CF4" w:rsidRPr="00EE1D3D">
              <w:t xml:space="preserve"> </w:t>
            </w:r>
            <w:r w:rsidRPr="00EE1D3D">
              <w:t xml:space="preserve">or reference is made to the previously issued TOBA (if there have been no changes) and </w:t>
            </w:r>
            <w:r w:rsidR="00E24CF4" w:rsidRPr="00EE1D3D">
              <w:t xml:space="preserve">the customer is reminded that the </w:t>
            </w:r>
            <w:r w:rsidR="00BC1675" w:rsidRPr="00EE1D3D">
              <w:t>previously issued</w:t>
            </w:r>
            <w:r w:rsidRPr="00EE1D3D">
              <w:t xml:space="preserve"> </w:t>
            </w:r>
            <w:r w:rsidR="00E24CF4" w:rsidRPr="00EE1D3D">
              <w:t xml:space="preserve">TOBA </w:t>
            </w:r>
            <w:r w:rsidRPr="00EE1D3D">
              <w:t>continues to apply.</w:t>
            </w:r>
          </w:p>
        </w:tc>
      </w:tr>
      <w:tr w:rsidR="001676C5" w:rsidRPr="00034F80" w14:paraId="05BA28E6" w14:textId="77777777" w:rsidTr="001676C5">
        <w:tc>
          <w:tcPr>
            <w:tcW w:w="9067" w:type="dxa"/>
          </w:tcPr>
          <w:p w14:paraId="3745F352" w14:textId="77777777" w:rsidR="001676C5" w:rsidRPr="00EE1D3D" w:rsidRDefault="001676C5" w:rsidP="00D650DC">
            <w:pPr>
              <w:pStyle w:val="Heading2"/>
            </w:pPr>
            <w:r w:rsidRPr="00EE1D3D">
              <w:t>Privacy Statement</w:t>
            </w:r>
          </w:p>
          <w:p w14:paraId="032512AF" w14:textId="5702C345" w:rsidR="001676C5" w:rsidRPr="00EE1D3D" w:rsidRDefault="00745E80" w:rsidP="00D650DC">
            <w:r w:rsidRPr="00435E3F">
              <w:t>An up-to-date privacy statement explaining how the firm uses and stores personal data.</w:t>
            </w:r>
          </w:p>
        </w:tc>
      </w:tr>
      <w:tr w:rsidR="001676C5" w:rsidRPr="00034F80" w14:paraId="0D959952" w14:textId="77777777" w:rsidTr="001676C5">
        <w:tc>
          <w:tcPr>
            <w:tcW w:w="9067" w:type="dxa"/>
          </w:tcPr>
          <w:p w14:paraId="41ABB26F" w14:textId="77777777" w:rsidR="001676C5" w:rsidRPr="00EE1D3D" w:rsidRDefault="001676C5" w:rsidP="00D650DC">
            <w:pPr>
              <w:pStyle w:val="Heading2"/>
            </w:pPr>
            <w:r w:rsidRPr="00EE1D3D">
              <w:t>How to Complain</w:t>
            </w:r>
          </w:p>
          <w:p w14:paraId="73956002" w14:textId="4805E967" w:rsidR="001676C5" w:rsidRPr="00EE1D3D" w:rsidRDefault="001676C5" w:rsidP="00D650DC">
            <w:r w:rsidRPr="00EE1D3D">
              <w:t>Clear information should be provided on the firm’s complaints procedures, including information about the FOS where appropriate.  This information may be included in the firm’s TOBA.</w:t>
            </w:r>
          </w:p>
        </w:tc>
      </w:tr>
      <w:tr w:rsidR="001676C5" w:rsidRPr="00034F80" w14:paraId="771B2388" w14:textId="77777777" w:rsidTr="001676C5">
        <w:tc>
          <w:tcPr>
            <w:tcW w:w="9067" w:type="dxa"/>
          </w:tcPr>
          <w:p w14:paraId="6A3D423B" w14:textId="77777777" w:rsidR="001676C5" w:rsidRPr="00EE1D3D" w:rsidRDefault="001676C5" w:rsidP="00D650DC">
            <w:pPr>
              <w:pStyle w:val="Heading2"/>
            </w:pPr>
            <w:r w:rsidRPr="00EE1D3D">
              <w:t>Scope of Service (Breadth of Marketing)</w:t>
            </w:r>
          </w:p>
          <w:p w14:paraId="4B22B0BE" w14:textId="6A23D13A" w:rsidR="001676C5" w:rsidRPr="00EE1D3D" w:rsidRDefault="00245295" w:rsidP="00D650DC">
            <w:r>
              <w:t>Prior to</w:t>
            </w:r>
            <w:r w:rsidR="001676C5" w:rsidRPr="00EE1D3D">
              <w:t xml:space="preserve"> inception, and if different at renewal, the client must be advised of the scope of service provided by the firm.  To meet regulatory requirements the wordings should be:</w:t>
            </w:r>
          </w:p>
          <w:p w14:paraId="0CE344AA" w14:textId="31A03454" w:rsidR="001676C5" w:rsidRPr="00EE1D3D" w:rsidRDefault="001676C5" w:rsidP="00D650DC">
            <w:pPr>
              <w:pStyle w:val="ListParagraph"/>
              <w:numPr>
                <w:ilvl w:val="0"/>
                <w:numId w:val="3"/>
              </w:numPr>
            </w:pPr>
            <w:r w:rsidRPr="00EE1D3D">
              <w:t>We have carried out a fair and personal</w:t>
            </w:r>
            <w:r w:rsidR="00245295">
              <w:t xml:space="preserve"> </w:t>
            </w:r>
            <w:r w:rsidRPr="00EE1D3D">
              <w:t>analysis</w:t>
            </w:r>
          </w:p>
          <w:p w14:paraId="05CDE6DB" w14:textId="7BDF45C0" w:rsidR="001676C5" w:rsidRPr="00EE1D3D" w:rsidRDefault="001676C5" w:rsidP="00D650DC">
            <w:pPr>
              <w:pStyle w:val="ListParagraph"/>
              <w:numPr>
                <w:ilvl w:val="0"/>
                <w:numId w:val="3"/>
              </w:numPr>
            </w:pPr>
            <w:r w:rsidRPr="00EE1D3D">
              <w:t>We have carried out a limited marketing exercise (the client should be made aware of the markets the firm may and does do business with).</w:t>
            </w:r>
          </w:p>
          <w:p w14:paraId="471E22C5" w14:textId="3F83D0E2" w:rsidR="001676C5" w:rsidRPr="00EE1D3D" w:rsidRDefault="001676C5" w:rsidP="00D650DC">
            <w:pPr>
              <w:pStyle w:val="ListParagraph"/>
              <w:numPr>
                <w:ilvl w:val="0"/>
                <w:numId w:val="3"/>
              </w:numPr>
            </w:pPr>
            <w:r w:rsidRPr="00EE1D3D">
              <w:t>We have only approached a Single Insurer. (this can be quantified as it is possible you have only approached the existing market because of a claim or because you carried out an extensive marketing exercise the year before etc….)</w:t>
            </w:r>
          </w:p>
          <w:p w14:paraId="36F900FB" w14:textId="2B419FFB" w:rsidR="001676C5" w:rsidRPr="00EE1D3D" w:rsidRDefault="001676C5" w:rsidP="00D650DC">
            <w:r w:rsidRPr="00EE1D3D">
              <w:t xml:space="preserve">It is </w:t>
            </w:r>
            <w:proofErr w:type="gramStart"/>
            <w:r w:rsidRPr="00EE1D3D">
              <w:t>really important</w:t>
            </w:r>
            <w:proofErr w:type="gramEnd"/>
            <w:r w:rsidRPr="00EE1D3D">
              <w:t xml:space="preserve"> that any information that is given to the client on marketing can be backed up from the firm’s records i.e. you have retained copies of the quotes.</w:t>
            </w:r>
          </w:p>
        </w:tc>
      </w:tr>
      <w:tr w:rsidR="001676C5" w:rsidRPr="00034F80" w14:paraId="4828CB1E" w14:textId="77777777" w:rsidTr="001676C5">
        <w:tc>
          <w:tcPr>
            <w:tcW w:w="9067" w:type="dxa"/>
          </w:tcPr>
          <w:p w14:paraId="2923AEE6" w14:textId="5812FAA8" w:rsidR="001676C5" w:rsidRPr="00EE1D3D" w:rsidRDefault="00452F24" w:rsidP="00D650DC">
            <w:pPr>
              <w:pStyle w:val="Heading2"/>
            </w:pPr>
            <w:r w:rsidRPr="00EE1D3D">
              <w:t>Fair Presentation of Risk: -</w:t>
            </w:r>
          </w:p>
          <w:p w14:paraId="459A4D13" w14:textId="7EC4E7FB" w:rsidR="00245295" w:rsidRPr="00D178B3" w:rsidRDefault="00D178B3" w:rsidP="00D650DC">
            <w:r w:rsidRPr="00EE1D3D">
              <w:t>T</w:t>
            </w:r>
            <w:r w:rsidR="00452F24" w:rsidRPr="00EE1D3D">
              <w:t xml:space="preserve">he commercial customer </w:t>
            </w:r>
            <w:r w:rsidRPr="00EE1D3D">
              <w:t xml:space="preserve">should be </w:t>
            </w:r>
            <w:r w:rsidR="00452F24" w:rsidRPr="00EE1D3D">
              <w:t xml:space="preserve">reminded of their duty to make a fair presentation of the risk to be insured. </w:t>
            </w:r>
            <w:r w:rsidR="001676C5" w:rsidRPr="00EE1D3D">
              <w:t xml:space="preserve">This </w:t>
            </w:r>
            <w:r w:rsidR="00452F24" w:rsidRPr="00EE1D3D">
              <w:t xml:space="preserve">information </w:t>
            </w:r>
            <w:r w:rsidR="001676C5" w:rsidRPr="00EE1D3D">
              <w:t>may be in the firm’s TOBA.</w:t>
            </w:r>
          </w:p>
        </w:tc>
      </w:tr>
      <w:tr w:rsidR="001676C5" w:rsidRPr="00034F80" w14:paraId="788487AF" w14:textId="77777777" w:rsidTr="001676C5">
        <w:tc>
          <w:tcPr>
            <w:tcW w:w="9067" w:type="dxa"/>
          </w:tcPr>
          <w:p w14:paraId="13ECD490" w14:textId="019B173C" w:rsidR="001676C5" w:rsidRPr="00EE1D3D" w:rsidRDefault="001676C5" w:rsidP="00D650DC">
            <w:pPr>
              <w:pStyle w:val="Heading2"/>
            </w:pPr>
            <w:r w:rsidRPr="00EE1D3D">
              <w:t xml:space="preserve">Demands and Needs Statement </w:t>
            </w:r>
            <w:r w:rsidR="00245295">
              <w:t>m</w:t>
            </w:r>
            <w:r w:rsidRPr="00EE1D3D">
              <w:t>ust be issued.</w:t>
            </w:r>
          </w:p>
          <w:p w14:paraId="26129197" w14:textId="1DAE81A9" w:rsidR="009A59A5" w:rsidRPr="00EE1D3D" w:rsidRDefault="001676C5" w:rsidP="00D650DC">
            <w:r w:rsidRPr="00EE1D3D">
              <w:t xml:space="preserve">Firms can be either recommending a product (advised sale) or providing enough information for the client to make an informed purchasing decision (non-advised sale).  Which ever option is being chosen the statement of demands and needs must specify that it is based on information </w:t>
            </w:r>
            <w:r w:rsidR="009A59A5" w:rsidRPr="00EE1D3D">
              <w:t xml:space="preserve">obtained from </w:t>
            </w:r>
            <w:r w:rsidRPr="00EE1D3D">
              <w:t xml:space="preserve">the client.  With an advised sale the </w:t>
            </w:r>
            <w:r w:rsidRPr="00EE1D3D">
              <w:lastRenderedPageBreak/>
              <w:t>recommendation must be tailored to the client’s specific demands and needs</w:t>
            </w:r>
            <w:r w:rsidR="009A59A5" w:rsidRPr="00EE1D3D">
              <w:t xml:space="preserve">, the recommended policy </w:t>
            </w:r>
            <w:r w:rsidR="009A59A5" w:rsidRPr="00EE1D3D">
              <w:rPr>
                <w:u w:val="single"/>
              </w:rPr>
              <w:t>must best meet</w:t>
            </w:r>
            <w:r w:rsidR="009A59A5" w:rsidRPr="00EE1D3D">
              <w:t xml:space="preserve"> the clients demands and needs</w:t>
            </w:r>
            <w:r w:rsidRPr="00EE1D3D">
              <w:t>.  With a non-advised sale there must still be some matching of the policy to the client’s requirements</w:t>
            </w:r>
            <w:r w:rsidR="009A59A5" w:rsidRPr="00EE1D3D">
              <w:t xml:space="preserve"> and the policy </w:t>
            </w:r>
            <w:r w:rsidR="009A59A5" w:rsidRPr="00EE1D3D">
              <w:rPr>
                <w:u w:val="single"/>
              </w:rPr>
              <w:t>must be consistent with</w:t>
            </w:r>
            <w:r w:rsidR="009A59A5" w:rsidRPr="00EE1D3D">
              <w:t xml:space="preserve"> the client</w:t>
            </w:r>
            <w:r w:rsidR="00245295">
              <w:t>’</w:t>
            </w:r>
            <w:r w:rsidR="009A59A5" w:rsidRPr="00EE1D3D">
              <w:t xml:space="preserve">s demands and needs.  </w:t>
            </w:r>
          </w:p>
          <w:p w14:paraId="3959D6A1" w14:textId="5B40A17E" w:rsidR="001676C5" w:rsidRPr="00EE1D3D" w:rsidRDefault="00452F24" w:rsidP="00D650DC">
            <w:r w:rsidRPr="00EE1D3D">
              <w:t xml:space="preserve">Statements of demands and needs should not be generic.  </w:t>
            </w:r>
          </w:p>
        </w:tc>
      </w:tr>
      <w:tr w:rsidR="001676C5" w:rsidRPr="00034F80" w14:paraId="40E8B60F" w14:textId="77777777" w:rsidTr="001676C5">
        <w:tc>
          <w:tcPr>
            <w:tcW w:w="9067" w:type="dxa"/>
          </w:tcPr>
          <w:p w14:paraId="7CDB498D" w14:textId="77777777" w:rsidR="001676C5" w:rsidRPr="00EE1D3D" w:rsidRDefault="001676C5" w:rsidP="00D650DC">
            <w:pPr>
              <w:pStyle w:val="Heading2"/>
            </w:pPr>
            <w:r w:rsidRPr="00EE1D3D">
              <w:lastRenderedPageBreak/>
              <w:t>Recommendation</w:t>
            </w:r>
          </w:p>
          <w:p w14:paraId="62C42EE4" w14:textId="2B54518C" w:rsidR="00D178B3" w:rsidRPr="00EE1D3D" w:rsidRDefault="001676C5" w:rsidP="00D650DC">
            <w:r w:rsidRPr="00EE1D3D">
              <w:t xml:space="preserve">If your firm is making a personal recommendation (Advised Sale), this must be linked to the client’s demands and needs.  </w:t>
            </w:r>
          </w:p>
          <w:p w14:paraId="6A8CADE1" w14:textId="0DBF1065" w:rsidR="00D178B3" w:rsidRPr="00EE1D3D" w:rsidRDefault="00D178B3" w:rsidP="00D650DC">
            <w:pPr>
              <w:pStyle w:val="Heading2"/>
            </w:pPr>
            <w:proofErr w:type="gramStart"/>
            <w:r w:rsidRPr="00EE1D3D">
              <w:t>Non Advised</w:t>
            </w:r>
            <w:proofErr w:type="gramEnd"/>
            <w:r w:rsidRPr="00EE1D3D">
              <w:t xml:space="preserve"> Sale</w:t>
            </w:r>
          </w:p>
          <w:p w14:paraId="6C468C3C" w14:textId="13914CB3" w:rsidR="001676C5" w:rsidRPr="00EE1D3D" w:rsidRDefault="001676C5" w:rsidP="00D650DC">
            <w:r w:rsidRPr="00EE1D3D">
              <w:t xml:space="preserve">If you are not making a </w:t>
            </w:r>
            <w:r w:rsidR="00D178B3" w:rsidRPr="00EE1D3D">
              <w:t>recommendation,</w:t>
            </w:r>
            <w:r w:rsidRPr="00EE1D3D">
              <w:t xml:space="preserve"> you must provide the client with enough information to make an informed purchasing decision.</w:t>
            </w:r>
          </w:p>
        </w:tc>
      </w:tr>
      <w:tr w:rsidR="001676C5" w:rsidRPr="00034F80" w14:paraId="43B6A6C7" w14:textId="77777777" w:rsidTr="001676C5">
        <w:tc>
          <w:tcPr>
            <w:tcW w:w="9067" w:type="dxa"/>
          </w:tcPr>
          <w:p w14:paraId="397C24CB" w14:textId="38BF7897" w:rsidR="001676C5" w:rsidRPr="00034F80" w:rsidRDefault="001676C5" w:rsidP="00D650DC">
            <w:pPr>
              <w:pStyle w:val="Heading2"/>
            </w:pPr>
            <w:r w:rsidRPr="00034F80">
              <w:t>Differences / Demands and Needs not met</w:t>
            </w:r>
            <w:r w:rsidR="00D178B3">
              <w:t xml:space="preserve"> (Advised Sale)</w:t>
            </w:r>
          </w:p>
          <w:p w14:paraId="6A9C4A13" w14:textId="24A1FA16" w:rsidR="001676C5" w:rsidRPr="00034F80" w:rsidRDefault="001676C5" w:rsidP="00D650DC">
            <w:r w:rsidRPr="00034F80">
              <w:t xml:space="preserve">If there are any differences between the firm’s recommendation and the client’s demands and needs these must be adequately explained e.g. if they requested a £50 excess but the policy has </w:t>
            </w:r>
            <w:r w:rsidR="00D178B3">
              <w:t xml:space="preserve">a </w:t>
            </w:r>
            <w:r w:rsidRPr="00034F80">
              <w:t xml:space="preserve">£100 </w:t>
            </w:r>
            <w:r w:rsidR="00D178B3">
              <w:t xml:space="preserve">excess </w:t>
            </w:r>
            <w:r w:rsidRPr="00034F80">
              <w:t>this must be drawn to their attention.</w:t>
            </w:r>
            <w:r>
              <w:t xml:space="preserve">  </w:t>
            </w:r>
            <w:r w:rsidR="00245295">
              <w:t>I</w:t>
            </w:r>
            <w:r>
              <w:t>t is possible the terms are more favourable than requested.</w:t>
            </w:r>
          </w:p>
          <w:p w14:paraId="12B50248" w14:textId="561A5160" w:rsidR="001676C5" w:rsidRPr="00034F80" w:rsidRDefault="001676C5" w:rsidP="00D650DC">
            <w:r w:rsidRPr="00034F80">
              <w:t>(If demands and needs are met in full this paragraph may not be required).</w:t>
            </w:r>
          </w:p>
        </w:tc>
      </w:tr>
      <w:tr w:rsidR="001676C5" w:rsidRPr="00034F80" w14:paraId="38587317" w14:textId="77777777" w:rsidTr="001676C5">
        <w:tc>
          <w:tcPr>
            <w:tcW w:w="9067" w:type="dxa"/>
          </w:tcPr>
          <w:p w14:paraId="2B0847EC" w14:textId="77777777" w:rsidR="001676C5" w:rsidRPr="00EE1D3D" w:rsidRDefault="001676C5" w:rsidP="00D650DC">
            <w:pPr>
              <w:pStyle w:val="Heading2"/>
            </w:pPr>
            <w:r w:rsidRPr="00EE1D3D">
              <w:t>Fee</w:t>
            </w:r>
          </w:p>
          <w:p w14:paraId="01FDDB9D" w14:textId="20EB078A" w:rsidR="001676C5" w:rsidRPr="00EE1D3D" w:rsidRDefault="001676C5" w:rsidP="00D650DC">
            <w:r w:rsidRPr="00EE1D3D">
              <w:t xml:space="preserve">If it is your intention to charge a fee this must be clearly disclosed within the letter and on the invoice.  If </w:t>
            </w:r>
            <w:r w:rsidR="00D178B3" w:rsidRPr="00EE1D3D">
              <w:t xml:space="preserve">another firm in the distribution chain is charging a fee </w:t>
            </w:r>
            <w:r w:rsidRPr="00EE1D3D">
              <w:t xml:space="preserve">this must be made clear to the </w:t>
            </w:r>
            <w:r w:rsidR="00D178B3" w:rsidRPr="00EE1D3D">
              <w:t>client</w:t>
            </w:r>
            <w:r w:rsidR="00452F24" w:rsidRPr="00EE1D3D">
              <w:t xml:space="preserve">.  Fees must be disclosed before the </w:t>
            </w:r>
            <w:r w:rsidR="00D178B3" w:rsidRPr="00EE1D3D">
              <w:t>client</w:t>
            </w:r>
            <w:r w:rsidR="00452F24" w:rsidRPr="00EE1D3D">
              <w:t xml:space="preserve"> is due to pay them.</w:t>
            </w:r>
            <w:r w:rsidRPr="00EE1D3D">
              <w:t xml:space="preserve">  </w:t>
            </w:r>
          </w:p>
        </w:tc>
      </w:tr>
      <w:tr w:rsidR="001676C5" w:rsidRPr="00034F80" w14:paraId="69863F0F" w14:textId="77777777" w:rsidTr="001676C5">
        <w:tc>
          <w:tcPr>
            <w:tcW w:w="9067" w:type="dxa"/>
          </w:tcPr>
          <w:p w14:paraId="344D5590" w14:textId="77777777" w:rsidR="001676C5" w:rsidRPr="00EE1D3D" w:rsidRDefault="001676C5" w:rsidP="00D650DC">
            <w:pPr>
              <w:pStyle w:val="Heading2"/>
            </w:pPr>
            <w:r w:rsidRPr="00EE1D3D">
              <w:t>Premium</w:t>
            </w:r>
          </w:p>
          <w:p w14:paraId="233F60EC" w14:textId="3029BC04" w:rsidR="001676C5" w:rsidRPr="00EE1D3D" w:rsidRDefault="001676C5" w:rsidP="00D650DC">
            <w:r w:rsidRPr="00EE1D3D">
              <w:t xml:space="preserve">The premium must be prominently shown or where this is not possible the rate together with any relevant deductions.  </w:t>
            </w:r>
          </w:p>
          <w:p w14:paraId="3A36D6CA" w14:textId="52579B80" w:rsidR="001676C5" w:rsidRPr="00EE1D3D" w:rsidRDefault="001676C5" w:rsidP="00D650DC">
            <w:r w:rsidRPr="00EE1D3D">
              <w:t>The IPT amount should be clearly shown.</w:t>
            </w:r>
          </w:p>
          <w:p w14:paraId="3CCCF537" w14:textId="0DA10AE4" w:rsidR="00D178B3" w:rsidRPr="00EE1D3D" w:rsidRDefault="001676C5" w:rsidP="00D650DC">
            <w:r w:rsidRPr="00EE1D3D">
              <w:t xml:space="preserve">The annual premium for any optional additional products must be clearly shown and they must be initially sold on an opt in basis. </w:t>
            </w:r>
          </w:p>
        </w:tc>
      </w:tr>
      <w:tr w:rsidR="001676C5" w:rsidRPr="00034F80" w14:paraId="427B15B6" w14:textId="77777777" w:rsidTr="001676C5">
        <w:tc>
          <w:tcPr>
            <w:tcW w:w="9067" w:type="dxa"/>
          </w:tcPr>
          <w:p w14:paraId="45D84692" w14:textId="77777777" w:rsidR="001676C5" w:rsidRPr="00034F80" w:rsidRDefault="001676C5" w:rsidP="00D650DC">
            <w:pPr>
              <w:pStyle w:val="Heading2"/>
            </w:pPr>
            <w:r w:rsidRPr="00034F80">
              <w:t>Payment Options</w:t>
            </w:r>
          </w:p>
          <w:p w14:paraId="355285F6" w14:textId="0349DC5D" w:rsidR="001676C5" w:rsidRDefault="001676C5" w:rsidP="00D650DC">
            <w:r w:rsidRPr="00034F80">
              <w:t>These must be clearly shown.  If instalments are being offered the interest rate and APR must be shown together with the cash price for the policy.  This information should be provided early in the sales process.</w:t>
            </w:r>
            <w:r w:rsidR="00746620">
              <w:t xml:space="preserve">  </w:t>
            </w:r>
            <w:r w:rsidR="00A92447">
              <w:t>C</w:t>
            </w:r>
            <w:r w:rsidR="00D178B3">
              <w:t xml:space="preserve">lients </w:t>
            </w:r>
            <w:r w:rsidR="00746620">
              <w:t xml:space="preserve">should be reminded that paying by instalments may increase the overall cost of the policy.   Premium </w:t>
            </w:r>
            <w:r w:rsidR="009F60E8">
              <w:t>f</w:t>
            </w:r>
            <w:r w:rsidR="00746620">
              <w:t>inance must be sold on an opt-in basis (as an optional additional product).</w:t>
            </w:r>
          </w:p>
          <w:p w14:paraId="5CFBB95B" w14:textId="3B7DE775" w:rsidR="00A92447" w:rsidRPr="00034F80" w:rsidRDefault="00B5168C" w:rsidP="00D650DC">
            <w:r>
              <w:t xml:space="preserve">Consideration should be given to any additional requirements required by the premium finance provider. </w:t>
            </w:r>
          </w:p>
        </w:tc>
      </w:tr>
      <w:tr w:rsidR="001676C5" w:rsidRPr="00034F80" w14:paraId="35C2C82E" w14:textId="77777777" w:rsidTr="001676C5">
        <w:tc>
          <w:tcPr>
            <w:tcW w:w="9067" w:type="dxa"/>
          </w:tcPr>
          <w:p w14:paraId="417A5B22" w14:textId="3AB1E9E9" w:rsidR="001676C5" w:rsidRDefault="001676C5" w:rsidP="003407FB">
            <w:pPr>
              <w:pStyle w:val="Heading2"/>
              <w:keepNext/>
            </w:pPr>
            <w:r>
              <w:lastRenderedPageBreak/>
              <w:t>Remuneration</w:t>
            </w:r>
          </w:p>
          <w:p w14:paraId="6C764256" w14:textId="73AA3222" w:rsidR="00452F24" w:rsidRDefault="001676C5" w:rsidP="00D650DC">
            <w:r>
              <w:t>T</w:t>
            </w:r>
            <w:r w:rsidRPr="005A3739">
              <w:t xml:space="preserve">he </w:t>
            </w:r>
            <w:r w:rsidR="00D178B3">
              <w:t xml:space="preserve">client </w:t>
            </w:r>
            <w:r>
              <w:t xml:space="preserve">should be </w:t>
            </w:r>
            <w:r w:rsidRPr="005A3739">
              <w:t>advised of the source and type of remuneration.</w:t>
            </w:r>
            <w:r>
              <w:t xml:space="preserve"> </w:t>
            </w:r>
            <w:r w:rsidRPr="005A3739">
              <w:t>This i</w:t>
            </w:r>
            <w:r>
              <w:t xml:space="preserve">nformation may be </w:t>
            </w:r>
            <w:r w:rsidRPr="005A3739">
              <w:t>included in the firm</w:t>
            </w:r>
            <w:r>
              <w:t>’</w:t>
            </w:r>
            <w:r w:rsidRPr="005A3739">
              <w:t>s TOBA.</w:t>
            </w:r>
          </w:p>
          <w:p w14:paraId="685C3872" w14:textId="4F358D8C" w:rsidR="001676C5" w:rsidRPr="005A3739" w:rsidRDefault="00452F24" w:rsidP="00D650DC">
            <w:r>
              <w:t>C</w:t>
            </w:r>
            <w:r w:rsidR="00D178B3">
              <w:t xml:space="preserve">lients </w:t>
            </w:r>
            <w:r>
              <w:t xml:space="preserve">should also be </w:t>
            </w:r>
            <w:r w:rsidR="00D178B3">
              <w:t>reminded</w:t>
            </w:r>
            <w:r>
              <w:t xml:space="preserve"> of their right to ask about the firm’s remuneration from placing their business (Remuneration Disclosure) this </w:t>
            </w:r>
            <w:r w:rsidR="00E24CF4">
              <w:t xml:space="preserve">reminder </w:t>
            </w:r>
            <w:r>
              <w:t xml:space="preserve">may be in the firm’s TOBA. </w:t>
            </w:r>
          </w:p>
        </w:tc>
      </w:tr>
      <w:tr w:rsidR="00DD10F1" w:rsidRPr="00034F80" w14:paraId="216EDD74" w14:textId="77777777" w:rsidTr="001676C5">
        <w:tc>
          <w:tcPr>
            <w:tcW w:w="9067" w:type="dxa"/>
          </w:tcPr>
          <w:p w14:paraId="5C2D07F7" w14:textId="32CBD702" w:rsidR="00DD10F1" w:rsidRDefault="00DD10F1" w:rsidP="00D650DC">
            <w:pPr>
              <w:pStyle w:val="Heading2"/>
            </w:pPr>
            <w:r>
              <w:t>Multi-Occupancy Buildings Insurance</w:t>
            </w:r>
          </w:p>
          <w:p w14:paraId="2BDE2324" w14:textId="18908AD8" w:rsidR="00DD10F1" w:rsidRDefault="00DD10F1" w:rsidP="00D650DC">
            <w:r>
              <w:t xml:space="preserve">As soon as is reasonably practicable after conclusion of the contract and upon any subsequent renewal, your firm must: </w:t>
            </w:r>
          </w:p>
          <w:p w14:paraId="21017640" w14:textId="7451B9A3" w:rsidR="00DD10F1" w:rsidRDefault="00DD10F1" w:rsidP="00D650DC">
            <w:pPr>
              <w:pStyle w:val="ListParagraph"/>
              <w:numPr>
                <w:ilvl w:val="0"/>
                <w:numId w:val="5"/>
              </w:numPr>
            </w:pPr>
            <w:r>
              <w:t>Give the customer and</w:t>
            </w:r>
          </w:p>
          <w:p w14:paraId="3491CC6A" w14:textId="2A29267E" w:rsidR="00DD10F1" w:rsidRDefault="00DD10F1" w:rsidP="00D650DC">
            <w:pPr>
              <w:pStyle w:val="ListParagraph"/>
              <w:numPr>
                <w:ilvl w:val="0"/>
                <w:numId w:val="5"/>
              </w:numPr>
            </w:pPr>
            <w:r>
              <w:t>Tell the customer to pass on promptly and in full to any leaseholder of the building covered, a copy of the following information:</w:t>
            </w:r>
          </w:p>
          <w:p w14:paraId="7E8F8760" w14:textId="5CAB2E4E" w:rsidR="00DD10F1" w:rsidRDefault="00DD10F1" w:rsidP="00D650DC">
            <w:pPr>
              <w:pStyle w:val="ListParagraph"/>
              <w:numPr>
                <w:ilvl w:val="1"/>
                <w:numId w:val="5"/>
              </w:numPr>
            </w:pPr>
            <w:r>
              <w:t>A summary of the cover</w:t>
            </w:r>
          </w:p>
          <w:p w14:paraId="0C6F54AE" w14:textId="41E51F27" w:rsidR="00DD10F1" w:rsidRDefault="00DD10F1" w:rsidP="00D650DC">
            <w:pPr>
              <w:pStyle w:val="ListParagraph"/>
              <w:numPr>
                <w:ilvl w:val="1"/>
                <w:numId w:val="5"/>
              </w:numPr>
            </w:pPr>
            <w:r>
              <w:t>Pricing information</w:t>
            </w:r>
          </w:p>
          <w:p w14:paraId="3D42BCF1" w14:textId="01C73468" w:rsidR="00DD10F1" w:rsidRDefault="00DD10F1" w:rsidP="00D650DC">
            <w:pPr>
              <w:pStyle w:val="ListParagraph"/>
              <w:numPr>
                <w:ilvl w:val="1"/>
                <w:numId w:val="5"/>
              </w:numPr>
            </w:pPr>
            <w:r>
              <w:t xml:space="preserve">Remuneration information </w:t>
            </w:r>
          </w:p>
          <w:p w14:paraId="6BF33825" w14:textId="3F8775FA" w:rsidR="00DD10F1" w:rsidRDefault="00DD10F1" w:rsidP="00D650DC">
            <w:pPr>
              <w:pStyle w:val="ListParagraph"/>
              <w:numPr>
                <w:ilvl w:val="1"/>
                <w:numId w:val="5"/>
              </w:numPr>
            </w:pPr>
            <w:r>
              <w:t>Placing and shopping around information</w:t>
            </w:r>
          </w:p>
          <w:p w14:paraId="21AFF614" w14:textId="68628116" w:rsidR="00DD10F1" w:rsidRDefault="00DD10F1" w:rsidP="00D650DC">
            <w:pPr>
              <w:pStyle w:val="ListParagraph"/>
              <w:numPr>
                <w:ilvl w:val="1"/>
                <w:numId w:val="5"/>
              </w:numPr>
            </w:pPr>
            <w:r>
              <w:t>Conflicts of interest information</w:t>
            </w:r>
          </w:p>
          <w:p w14:paraId="5864787B" w14:textId="0C90E4D2" w:rsidR="00DD10F1" w:rsidRDefault="00DD10F1" w:rsidP="00D650DC">
            <w:r>
              <w:t xml:space="preserve">More information can be found in the ICOBS rules [ICOBS 6A.7.3R] and/or templates are available on CobraConnect. </w:t>
            </w:r>
          </w:p>
        </w:tc>
      </w:tr>
      <w:tr w:rsidR="001676C5" w:rsidRPr="00034F80" w14:paraId="0C6C9A90" w14:textId="77777777" w:rsidTr="00797894">
        <w:tc>
          <w:tcPr>
            <w:tcW w:w="9067" w:type="dxa"/>
            <w:shd w:val="clear" w:color="auto" w:fill="97D700"/>
          </w:tcPr>
          <w:p w14:paraId="26F9A5E8" w14:textId="590C3F67" w:rsidR="001676C5" w:rsidRPr="00034F80" w:rsidRDefault="001676C5" w:rsidP="00D650DC">
            <w:pPr>
              <w:pStyle w:val="Heading1"/>
              <w:rPr>
                <w:b/>
                <w:u w:val="single"/>
              </w:rPr>
            </w:pPr>
            <w:r w:rsidRPr="00034F80">
              <w:t>CONTRACT CERTAINTY / POLICY DETAILS</w:t>
            </w:r>
          </w:p>
        </w:tc>
      </w:tr>
      <w:tr w:rsidR="001676C5" w:rsidRPr="00034F80" w14:paraId="115680DD" w14:textId="77777777" w:rsidTr="001676C5">
        <w:tc>
          <w:tcPr>
            <w:tcW w:w="9067" w:type="dxa"/>
          </w:tcPr>
          <w:p w14:paraId="644D72F7" w14:textId="77777777" w:rsidR="001676C5" w:rsidRPr="00034F80" w:rsidRDefault="001676C5" w:rsidP="00D650DC">
            <w:pPr>
              <w:pStyle w:val="Heading2"/>
            </w:pPr>
            <w:r w:rsidRPr="00034F80">
              <w:t>Insurer</w:t>
            </w:r>
          </w:p>
          <w:p w14:paraId="5FE0F3E1" w14:textId="2675556A" w:rsidR="001676C5" w:rsidRPr="00034F80" w:rsidRDefault="001676C5" w:rsidP="00D650DC">
            <w:r w:rsidRPr="00034F80">
              <w:t xml:space="preserve">The client must be told </w:t>
            </w:r>
            <w:r>
              <w:t>the identity of the insurer underwriting the policy.  If another intermediary</w:t>
            </w:r>
            <w:r w:rsidR="00B12647">
              <w:t xml:space="preserve"> or MGA</w:t>
            </w:r>
            <w:r>
              <w:t xml:space="preserve"> is involved this information may also be included.</w:t>
            </w:r>
          </w:p>
        </w:tc>
      </w:tr>
      <w:tr w:rsidR="001676C5" w:rsidRPr="00034F80" w14:paraId="4206AB2C" w14:textId="77777777" w:rsidTr="001676C5">
        <w:tc>
          <w:tcPr>
            <w:tcW w:w="9067" w:type="dxa"/>
          </w:tcPr>
          <w:p w14:paraId="45054C0F" w14:textId="77777777" w:rsidR="001676C5" w:rsidRPr="00034F80" w:rsidRDefault="001676C5" w:rsidP="00D650DC">
            <w:pPr>
              <w:pStyle w:val="Heading2"/>
            </w:pPr>
            <w:r w:rsidRPr="00034F80">
              <w:t>Period of Cover</w:t>
            </w:r>
          </w:p>
          <w:p w14:paraId="7AF37089" w14:textId="1B996B68" w:rsidR="001676C5" w:rsidRPr="00034F80" w:rsidRDefault="001676C5" w:rsidP="00D650DC">
            <w:r w:rsidRPr="00034F80">
              <w:t>If the dates have not been decided this can be shown as 12 months or as appropriate.</w:t>
            </w:r>
          </w:p>
        </w:tc>
      </w:tr>
      <w:tr w:rsidR="001676C5" w:rsidRPr="00034F80" w14:paraId="25FEDAC8" w14:textId="77777777" w:rsidTr="001676C5">
        <w:tc>
          <w:tcPr>
            <w:tcW w:w="9067" w:type="dxa"/>
          </w:tcPr>
          <w:p w14:paraId="2B2D6F75" w14:textId="77777777" w:rsidR="001676C5" w:rsidRPr="00034F80" w:rsidRDefault="001676C5" w:rsidP="00D650DC">
            <w:pPr>
              <w:pStyle w:val="Heading2"/>
            </w:pPr>
            <w:r w:rsidRPr="00034F80">
              <w:t>Sums Insured</w:t>
            </w:r>
          </w:p>
          <w:p w14:paraId="0919A456" w14:textId="77777777" w:rsidR="001676C5" w:rsidRPr="00034F80" w:rsidRDefault="001676C5" w:rsidP="00D650DC">
            <w:r w:rsidRPr="00034F80">
              <w:t xml:space="preserve">Information on the sums insured / limits of indemnity must be clearly expressed.  </w:t>
            </w:r>
          </w:p>
          <w:p w14:paraId="37C24000" w14:textId="77777777" w:rsidR="001676C5" w:rsidRPr="00034F80" w:rsidRDefault="001676C5" w:rsidP="00D650DC">
            <w:r w:rsidRPr="00034F80">
              <w:t xml:space="preserve">If cover is on a day one </w:t>
            </w:r>
            <w:proofErr w:type="gramStart"/>
            <w:r w:rsidRPr="00034F80">
              <w:t>basis</w:t>
            </w:r>
            <w:proofErr w:type="gramEnd"/>
            <w:r w:rsidRPr="00034F80">
              <w:t xml:space="preserve"> then the declared value must be shown.</w:t>
            </w:r>
          </w:p>
          <w:p w14:paraId="321E01CA" w14:textId="265A7D4A" w:rsidR="001676C5" w:rsidRPr="00034F80" w:rsidRDefault="001676C5" w:rsidP="00D650DC">
            <w:r w:rsidRPr="00034F80">
              <w:t xml:space="preserve">Indemnity </w:t>
            </w:r>
            <w:r w:rsidR="009F60E8">
              <w:t>p</w:t>
            </w:r>
            <w:r w:rsidRPr="00034F80">
              <w:t>eriods are equally important.</w:t>
            </w:r>
          </w:p>
          <w:p w14:paraId="1CA8CAC8" w14:textId="6275B422" w:rsidR="001676C5" w:rsidRPr="00034F80" w:rsidRDefault="001676C5" w:rsidP="00D650DC">
            <w:r w:rsidRPr="00034F80">
              <w:t>Where required, explanations should be included</w:t>
            </w:r>
            <w:r w:rsidR="00B12647">
              <w:t xml:space="preserve"> to ensure understanding</w:t>
            </w:r>
            <w:r w:rsidRPr="00034F80">
              <w:t>.</w:t>
            </w:r>
          </w:p>
        </w:tc>
      </w:tr>
      <w:tr w:rsidR="001676C5" w:rsidRPr="00034F80" w14:paraId="395F97D3" w14:textId="77777777" w:rsidTr="001676C5">
        <w:tc>
          <w:tcPr>
            <w:tcW w:w="9067" w:type="dxa"/>
          </w:tcPr>
          <w:p w14:paraId="71704CA9" w14:textId="77777777" w:rsidR="001676C5" w:rsidRPr="00034F80" w:rsidRDefault="001676C5" w:rsidP="00D650DC">
            <w:pPr>
              <w:pStyle w:val="Heading2"/>
            </w:pPr>
            <w:r w:rsidRPr="00034F80">
              <w:t>Policy Wording (terms and conditions).</w:t>
            </w:r>
          </w:p>
          <w:p w14:paraId="348D1A59" w14:textId="5C2361B9" w:rsidR="00A92447" w:rsidRDefault="001676C5" w:rsidP="00D650DC">
            <w:r w:rsidRPr="00034F80">
              <w:t xml:space="preserve">Policy wordings should be provided </w:t>
            </w:r>
            <w:r w:rsidR="009F60E8">
              <w:t>prior to</w:t>
            </w:r>
            <w:r w:rsidRPr="00034F80">
              <w:t xml:space="preserve"> inception</w:t>
            </w:r>
            <w:r w:rsidR="00B12647">
              <w:t xml:space="preserve"> and if there is a change of provider at renewal. </w:t>
            </w:r>
          </w:p>
          <w:p w14:paraId="2E716186" w14:textId="7D8AF113" w:rsidR="00B12647" w:rsidRPr="00034F80" w:rsidRDefault="00B12647" w:rsidP="00D650DC">
            <w:r>
              <w:t xml:space="preserve">Where a wording is dependent on another wording e.g.” as expiring” or “as original” – this should be clearly identified i.e. attached or uniquely described or referenced. </w:t>
            </w:r>
          </w:p>
          <w:p w14:paraId="3F748060" w14:textId="79D98DF7" w:rsidR="00B5168C" w:rsidRDefault="001676C5" w:rsidP="00D650DC">
            <w:r w:rsidRPr="00034F80">
              <w:lastRenderedPageBreak/>
              <w:t xml:space="preserve">All conditions or subjectivities of the contract must be clearly </w:t>
            </w:r>
            <w:r w:rsidR="00A92447" w:rsidRPr="00034F80">
              <w:t>expressed,</w:t>
            </w:r>
            <w:r w:rsidRPr="00034F80">
              <w:t xml:space="preserve"> and conditions, limitations, exclusions and warranties identified / explained.</w:t>
            </w:r>
            <w:r w:rsidR="00B12647">
              <w:t xml:space="preserve">  </w:t>
            </w:r>
            <w:r w:rsidR="00D178B3">
              <w:t>Clients</w:t>
            </w:r>
            <w:r w:rsidR="00B12647">
              <w:t xml:space="preserve"> can be signposted to this information in the policy wording / schedule. </w:t>
            </w:r>
          </w:p>
          <w:p w14:paraId="259DB171" w14:textId="26558D86" w:rsidR="00A92447" w:rsidRDefault="00B12647" w:rsidP="00D650DC">
            <w:r>
              <w:t>Terminology should be consistent</w:t>
            </w:r>
            <w:r w:rsidR="00A92447">
              <w:t xml:space="preserve"> in the firm’s correspondence and the insurers documents. </w:t>
            </w:r>
          </w:p>
          <w:p w14:paraId="6C0D15FE" w14:textId="164CF949" w:rsidR="00B5168C" w:rsidRPr="00034F80" w:rsidRDefault="00A92447" w:rsidP="00D650DC">
            <w:r>
              <w:t>Jargon should be avoided but</w:t>
            </w:r>
            <w:r w:rsidR="00E24CF4">
              <w:t>,</w:t>
            </w:r>
            <w:r>
              <w:t xml:space="preserve"> if necessary, explanations should be included to ensure understanding.</w:t>
            </w:r>
          </w:p>
        </w:tc>
      </w:tr>
      <w:tr w:rsidR="001676C5" w:rsidRPr="00034F80" w14:paraId="0C6BBFA5" w14:textId="77777777" w:rsidTr="001676C5">
        <w:tc>
          <w:tcPr>
            <w:tcW w:w="9067" w:type="dxa"/>
          </w:tcPr>
          <w:p w14:paraId="5CD36C9B" w14:textId="77777777" w:rsidR="001676C5" w:rsidRPr="00034F80" w:rsidRDefault="001676C5" w:rsidP="00D650DC">
            <w:pPr>
              <w:pStyle w:val="Heading2"/>
            </w:pPr>
            <w:r w:rsidRPr="00034F80">
              <w:lastRenderedPageBreak/>
              <w:t>Policy Excess</w:t>
            </w:r>
          </w:p>
          <w:p w14:paraId="61B8D2C1" w14:textId="5D0967BA" w:rsidR="00746620" w:rsidRPr="00D650DC" w:rsidRDefault="001676C5" w:rsidP="00D650DC">
            <w:pPr>
              <w:rPr>
                <w:b/>
              </w:rPr>
            </w:pPr>
            <w:r w:rsidRPr="00034F80">
              <w:t>This must be clearly shown</w:t>
            </w:r>
            <w:r w:rsidR="00A92447">
              <w:t xml:space="preserve"> or signposted</w:t>
            </w:r>
            <w:r w:rsidRPr="00034F80">
              <w:t>.</w:t>
            </w:r>
          </w:p>
        </w:tc>
      </w:tr>
      <w:tr w:rsidR="001676C5" w:rsidRPr="00034F80" w14:paraId="1D491B83" w14:textId="77777777" w:rsidTr="001676C5">
        <w:tc>
          <w:tcPr>
            <w:tcW w:w="9067" w:type="dxa"/>
          </w:tcPr>
          <w:p w14:paraId="55D82F83" w14:textId="77777777" w:rsidR="001676C5" w:rsidRPr="00034F80" w:rsidRDefault="001676C5" w:rsidP="00D650DC">
            <w:pPr>
              <w:pStyle w:val="Heading2"/>
            </w:pPr>
            <w:r w:rsidRPr="00034F80">
              <w:t xml:space="preserve">How to make a Claim </w:t>
            </w:r>
          </w:p>
          <w:p w14:paraId="5DB26011" w14:textId="4FFEAB1D" w:rsidR="001676C5" w:rsidRPr="00034F80" w:rsidRDefault="001676C5" w:rsidP="00D650DC">
            <w:r w:rsidRPr="00034F80">
              <w:t xml:space="preserve">This is why the policy </w:t>
            </w:r>
            <w:r w:rsidR="000A1B7E">
              <w:t xml:space="preserve">is required </w:t>
            </w:r>
            <w:r w:rsidRPr="00034F80">
              <w:t>and the information here is important.</w:t>
            </w:r>
            <w:r w:rsidR="00D178B3">
              <w:t xml:space="preserve">  This may be included in the firm’s TOBA.</w:t>
            </w:r>
          </w:p>
        </w:tc>
      </w:tr>
      <w:tr w:rsidR="001676C5" w:rsidRPr="00034F80" w14:paraId="6BE5B6FE" w14:textId="77777777" w:rsidTr="001676C5">
        <w:tc>
          <w:tcPr>
            <w:tcW w:w="9067" w:type="dxa"/>
          </w:tcPr>
          <w:p w14:paraId="60FD781C" w14:textId="783CD15E" w:rsidR="001676C5" w:rsidRPr="00034F80" w:rsidRDefault="001676C5" w:rsidP="00D650DC">
            <w:pPr>
              <w:pStyle w:val="Heading2"/>
            </w:pPr>
            <w:r w:rsidRPr="00034F80">
              <w:t xml:space="preserve">Period Quotation is </w:t>
            </w:r>
            <w:r w:rsidR="009F60E8">
              <w:t>v</w:t>
            </w:r>
            <w:r w:rsidRPr="00034F80">
              <w:t>alid for</w:t>
            </w:r>
          </w:p>
          <w:p w14:paraId="4C259048" w14:textId="54D77F18" w:rsidR="001676C5" w:rsidRPr="00034F80" w:rsidRDefault="001676C5" w:rsidP="00D650DC">
            <w:r w:rsidRPr="00034F80">
              <w:t>If this is a renewal quote firms should show this as the renewal date.  With new business, quotations are normally valid for 30 days although this should be checked with the insurer.</w:t>
            </w:r>
          </w:p>
        </w:tc>
      </w:tr>
      <w:tr w:rsidR="001676C5" w:rsidRPr="00034F80" w14:paraId="7BA4241F" w14:textId="77777777" w:rsidTr="00C4698D">
        <w:tc>
          <w:tcPr>
            <w:tcW w:w="9067" w:type="dxa"/>
            <w:shd w:val="clear" w:color="auto" w:fill="97D700"/>
          </w:tcPr>
          <w:p w14:paraId="66AA2688" w14:textId="17DF0795" w:rsidR="00E24CF4" w:rsidRPr="00034F80" w:rsidRDefault="00E24CF4" w:rsidP="00C4698D">
            <w:pPr>
              <w:jc w:val="center"/>
            </w:pPr>
            <w:r w:rsidRPr="00E24CF4">
              <w:t xml:space="preserve">With Commercial Customers reports </w:t>
            </w:r>
            <w:r w:rsidR="009F60E8">
              <w:t xml:space="preserve">are </w:t>
            </w:r>
            <w:r w:rsidRPr="00E24CF4">
              <w:t>often issued</w:t>
            </w:r>
            <w:r>
              <w:t xml:space="preserve"> in lieu of letters</w:t>
            </w:r>
            <w:r w:rsidR="000A1B7E">
              <w:t xml:space="preserve"> but the disclosure requirements remain the same</w:t>
            </w:r>
          </w:p>
        </w:tc>
      </w:tr>
    </w:tbl>
    <w:p w14:paraId="630AA861" w14:textId="77777777" w:rsidR="00090B14" w:rsidRPr="00034F80" w:rsidRDefault="00090B14" w:rsidP="00D650DC"/>
    <w:p w14:paraId="60680B40" w14:textId="1089581F" w:rsidR="009F599D" w:rsidRPr="003407FB" w:rsidRDefault="000A1B7E" w:rsidP="00D650DC">
      <w:pPr>
        <w:rPr>
          <w:color w:val="97D700"/>
        </w:rPr>
      </w:pPr>
      <w:bookmarkStart w:id="0" w:name="_Hlk190786521"/>
      <w:r w:rsidRPr="003407FB">
        <w:rPr>
          <w:color w:val="97D700"/>
        </w:rPr>
        <w:t>Produced for use by Cobra Network Members.</w:t>
      </w:r>
      <w:bookmarkEnd w:id="0"/>
    </w:p>
    <w:sectPr w:rsidR="009F599D" w:rsidRPr="003407FB" w:rsidSect="00A56459">
      <w:headerReference w:type="default" r:id="rId8"/>
      <w:pgSz w:w="11906" w:h="16838" w:code="9"/>
      <w:pgMar w:top="1440" w:right="1466"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B3368" w14:textId="77777777" w:rsidR="00F20556" w:rsidRDefault="00F20556" w:rsidP="00D650DC">
      <w:r>
        <w:separator/>
      </w:r>
    </w:p>
  </w:endnote>
  <w:endnote w:type="continuationSeparator" w:id="0">
    <w:p w14:paraId="54EF247C" w14:textId="77777777" w:rsidR="00F20556" w:rsidRDefault="00F20556" w:rsidP="00D65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4854C" w14:textId="77777777" w:rsidR="00F20556" w:rsidRDefault="00F20556" w:rsidP="00D650DC">
      <w:r>
        <w:separator/>
      </w:r>
    </w:p>
  </w:footnote>
  <w:footnote w:type="continuationSeparator" w:id="0">
    <w:p w14:paraId="229198FE" w14:textId="77777777" w:rsidR="00F20556" w:rsidRDefault="00F20556" w:rsidP="00D65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4AEB7" w14:textId="77777777" w:rsidR="009F599D" w:rsidRDefault="00DC6488" w:rsidP="00D650DC">
    <w:pPr>
      <w:pStyle w:val="Header"/>
    </w:pPr>
    <w:r>
      <w:rPr>
        <w:noProof/>
        <w:lang w:eastAsia="en-GB"/>
      </w:rPr>
      <mc:AlternateContent>
        <mc:Choice Requires="wps">
          <w:drawing>
            <wp:anchor distT="0" distB="0" distL="114300" distR="114300" simplePos="0" relativeHeight="251657728" behindDoc="0" locked="0" layoutInCell="1" allowOverlap="1" wp14:anchorId="6F7F29F8" wp14:editId="7C7A0554">
              <wp:simplePos x="0" y="0"/>
              <wp:positionH relativeFrom="column">
                <wp:posOffset>-228600</wp:posOffset>
              </wp:positionH>
              <wp:positionV relativeFrom="paragraph">
                <wp:posOffset>7620</wp:posOffset>
              </wp:positionV>
              <wp:extent cx="1901190" cy="635000"/>
              <wp:effectExtent l="0" t="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190"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2B59A1" w14:textId="77777777" w:rsidR="009F599D" w:rsidRDefault="009F599D" w:rsidP="00D650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F29F8" id="_x0000_t202" coordsize="21600,21600" o:spt="202" path="m,l,21600r21600,l21600,xe">
              <v:stroke joinstyle="miter"/>
              <v:path gradientshapeok="t" o:connecttype="rect"/>
            </v:shapetype>
            <v:shape id="Text Box 1" o:spid="_x0000_s1026" type="#_x0000_t202" style="position:absolute;margin-left:-18pt;margin-top:.6pt;width:149.7pt;height: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" stroked="f">
              <v:textbox>
                <w:txbxContent>
                  <w:p w14:paraId="702B59A1" w14:textId="77777777" w:rsidR="009F599D" w:rsidRDefault="009F599D" w:rsidP="00D650DC"/>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0DD5"/>
    <w:multiLevelType w:val="hybridMultilevel"/>
    <w:tmpl w:val="F4B0C752"/>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690DE1"/>
    <w:multiLevelType w:val="hybridMultilevel"/>
    <w:tmpl w:val="6D721E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A2307D0"/>
    <w:multiLevelType w:val="hybridMultilevel"/>
    <w:tmpl w:val="B95CB85C"/>
    <w:lvl w:ilvl="0" w:tplc="9A3219B4">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086D1F"/>
    <w:multiLevelType w:val="hybridMultilevel"/>
    <w:tmpl w:val="0370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783BE1"/>
    <w:multiLevelType w:val="hybridMultilevel"/>
    <w:tmpl w:val="C79E7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826599">
    <w:abstractNumId w:val="2"/>
  </w:num>
  <w:num w:numId="2" w16cid:durableId="595676031">
    <w:abstractNumId w:val="1"/>
  </w:num>
  <w:num w:numId="3" w16cid:durableId="222300845">
    <w:abstractNumId w:val="4"/>
  </w:num>
  <w:num w:numId="4" w16cid:durableId="392507869">
    <w:abstractNumId w:val="3"/>
  </w:num>
  <w:num w:numId="5" w16cid:durableId="1160535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1"/>
  <w:proofState w:spelling="clean" w:grammar="clean"/>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2D4"/>
    <w:rsid w:val="00012473"/>
    <w:rsid w:val="00034F80"/>
    <w:rsid w:val="00045583"/>
    <w:rsid w:val="00090B14"/>
    <w:rsid w:val="000A1B7E"/>
    <w:rsid w:val="000C07D7"/>
    <w:rsid w:val="000C2E06"/>
    <w:rsid w:val="000D2599"/>
    <w:rsid w:val="001676C5"/>
    <w:rsid w:val="00245295"/>
    <w:rsid w:val="00295C11"/>
    <w:rsid w:val="00302B65"/>
    <w:rsid w:val="003407FB"/>
    <w:rsid w:val="00371E46"/>
    <w:rsid w:val="00373EAB"/>
    <w:rsid w:val="003A51E1"/>
    <w:rsid w:val="003A7502"/>
    <w:rsid w:val="00452F24"/>
    <w:rsid w:val="004E6B3D"/>
    <w:rsid w:val="004F5B10"/>
    <w:rsid w:val="00515833"/>
    <w:rsid w:val="005A3739"/>
    <w:rsid w:val="005B38E5"/>
    <w:rsid w:val="005D0A2E"/>
    <w:rsid w:val="006E7380"/>
    <w:rsid w:val="00745E80"/>
    <w:rsid w:val="00746620"/>
    <w:rsid w:val="00797894"/>
    <w:rsid w:val="007C5CEA"/>
    <w:rsid w:val="0080538B"/>
    <w:rsid w:val="00841748"/>
    <w:rsid w:val="00850D1A"/>
    <w:rsid w:val="008A7C28"/>
    <w:rsid w:val="008B337C"/>
    <w:rsid w:val="008D155B"/>
    <w:rsid w:val="00942C81"/>
    <w:rsid w:val="009A59A5"/>
    <w:rsid w:val="009B42D4"/>
    <w:rsid w:val="009F599D"/>
    <w:rsid w:val="009F60E8"/>
    <w:rsid w:val="00A17DB0"/>
    <w:rsid w:val="00A54CD6"/>
    <w:rsid w:val="00A56459"/>
    <w:rsid w:val="00A92447"/>
    <w:rsid w:val="00AF1F8C"/>
    <w:rsid w:val="00B12647"/>
    <w:rsid w:val="00B47D7A"/>
    <w:rsid w:val="00B5168C"/>
    <w:rsid w:val="00BC1675"/>
    <w:rsid w:val="00C4698D"/>
    <w:rsid w:val="00CD70EE"/>
    <w:rsid w:val="00D178B3"/>
    <w:rsid w:val="00D650DC"/>
    <w:rsid w:val="00D7663A"/>
    <w:rsid w:val="00DC6488"/>
    <w:rsid w:val="00DD10F1"/>
    <w:rsid w:val="00DD7410"/>
    <w:rsid w:val="00E2461C"/>
    <w:rsid w:val="00E24CF4"/>
    <w:rsid w:val="00E53DC7"/>
    <w:rsid w:val="00EA35B6"/>
    <w:rsid w:val="00EE1D3D"/>
    <w:rsid w:val="00F20556"/>
    <w:rsid w:val="00FA664F"/>
    <w:rsid w:val="00FC7182"/>
    <w:rsid w:val="00FF5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0F394CA"/>
  <w15:docId w15:val="{115DDD2A-B0F7-4339-9DAA-C3BCB572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DC"/>
    <w:pPr>
      <w:spacing w:after="160"/>
    </w:pPr>
    <w:rPr>
      <w:rFonts w:ascii="Tahoma" w:eastAsiaTheme="minorHAnsi" w:hAnsi="Tahoma" w:cstheme="minorBidi"/>
      <w:kern w:val="2"/>
      <w:sz w:val="22"/>
      <w:szCs w:val="24"/>
      <w:lang w:eastAsia="en-US"/>
      <w14:ligatures w14:val="standardContextual"/>
    </w:rPr>
  </w:style>
  <w:style w:type="paragraph" w:styleId="Heading1">
    <w:name w:val="heading 1"/>
    <w:basedOn w:val="Title"/>
    <w:next w:val="Normal"/>
    <w:qFormat/>
    <w:rsid w:val="00797894"/>
    <w:pPr>
      <w:pBdr>
        <w:top w:val="none" w:sz="0" w:space="0" w:color="auto"/>
        <w:left w:val="none" w:sz="0" w:space="0" w:color="auto"/>
        <w:bottom w:val="none" w:sz="0" w:space="0" w:color="auto"/>
        <w:right w:val="none" w:sz="0" w:space="0" w:color="auto"/>
      </w:pBdr>
    </w:pPr>
  </w:style>
  <w:style w:type="paragraph" w:styleId="Heading2">
    <w:name w:val="heading 2"/>
    <w:basedOn w:val="Normal"/>
    <w:next w:val="Normal"/>
    <w:qFormat/>
    <w:rsid w:val="00D650DC"/>
    <w:pPr>
      <w:jc w:val="both"/>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56459"/>
    <w:pPr>
      <w:tabs>
        <w:tab w:val="center" w:pos="4153"/>
        <w:tab w:val="right" w:pos="8306"/>
      </w:tabs>
    </w:pPr>
  </w:style>
  <w:style w:type="paragraph" w:styleId="Footer">
    <w:name w:val="footer"/>
    <w:basedOn w:val="Normal"/>
    <w:semiHidden/>
    <w:rsid w:val="00A56459"/>
    <w:pPr>
      <w:tabs>
        <w:tab w:val="center" w:pos="4153"/>
        <w:tab w:val="right" w:pos="8306"/>
      </w:tabs>
    </w:pPr>
  </w:style>
  <w:style w:type="paragraph" w:styleId="BodyText">
    <w:name w:val="Body Text"/>
    <w:basedOn w:val="Normal"/>
    <w:semiHidden/>
    <w:rsid w:val="00A56459"/>
    <w:pPr>
      <w:jc w:val="both"/>
    </w:pPr>
  </w:style>
  <w:style w:type="paragraph" w:customStyle="1" w:styleId="subpara11">
    <w:name w:val="subpara11"/>
    <w:basedOn w:val="Normal"/>
    <w:rsid w:val="006E7380"/>
    <w:pPr>
      <w:spacing w:before="100" w:beforeAutospacing="1" w:after="100" w:afterAutospacing="1"/>
      <w:ind w:left="480" w:right="240"/>
      <w:jc w:val="both"/>
    </w:pPr>
    <w:rPr>
      <w:rFonts w:ascii="Arial" w:hAnsi="Arial" w:cs="Arial"/>
      <w:color w:val="000000"/>
      <w:lang w:val="en-US"/>
    </w:rPr>
  </w:style>
  <w:style w:type="character" w:customStyle="1" w:styleId="subparatext">
    <w:name w:val="subparatext"/>
    <w:basedOn w:val="DefaultParagraphFont"/>
    <w:rsid w:val="006E7380"/>
  </w:style>
  <w:style w:type="paragraph" w:styleId="ListParagraph">
    <w:name w:val="List Paragraph"/>
    <w:basedOn w:val="Normal"/>
    <w:uiPriority w:val="34"/>
    <w:qFormat/>
    <w:rsid w:val="006E7380"/>
    <w:pPr>
      <w:ind w:left="720"/>
    </w:pPr>
  </w:style>
  <w:style w:type="paragraph" w:styleId="BalloonText">
    <w:name w:val="Balloon Text"/>
    <w:basedOn w:val="Normal"/>
    <w:link w:val="BalloonTextChar"/>
    <w:uiPriority w:val="99"/>
    <w:semiHidden/>
    <w:unhideWhenUsed/>
    <w:rsid w:val="00CD70EE"/>
    <w:rPr>
      <w:rFonts w:cs="Tahoma"/>
      <w:sz w:val="16"/>
      <w:szCs w:val="16"/>
    </w:rPr>
  </w:style>
  <w:style w:type="character" w:customStyle="1" w:styleId="BalloonTextChar">
    <w:name w:val="Balloon Text Char"/>
    <w:basedOn w:val="DefaultParagraphFont"/>
    <w:link w:val="BalloonText"/>
    <w:uiPriority w:val="99"/>
    <w:semiHidden/>
    <w:rsid w:val="00CD70EE"/>
    <w:rPr>
      <w:rFonts w:ascii="Tahoma" w:hAnsi="Tahoma" w:cs="Tahoma"/>
      <w:sz w:val="16"/>
      <w:szCs w:val="16"/>
      <w:lang w:eastAsia="en-US"/>
    </w:rPr>
  </w:style>
  <w:style w:type="table" w:styleId="TableGrid">
    <w:name w:val="Table Grid"/>
    <w:basedOn w:val="TableNormal"/>
    <w:uiPriority w:val="59"/>
    <w:rsid w:val="00090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Subtitle"/>
    <w:next w:val="Normal"/>
    <w:link w:val="TitleChar"/>
    <w:uiPriority w:val="10"/>
    <w:qFormat/>
    <w:rsid w:val="003A51E1"/>
    <w:pPr>
      <w:keepNext/>
      <w:keepLines/>
      <w:numPr>
        <w:ilvl w:val="0"/>
      </w:numPr>
      <w:pBdr>
        <w:top w:val="single" w:sz="4" w:space="9" w:color="6CAEE0"/>
        <w:left w:val="single" w:sz="4" w:space="4" w:color="6CAEE0"/>
        <w:bottom w:val="single" w:sz="4" w:space="9" w:color="6CAEE0"/>
        <w:right w:val="single" w:sz="4" w:space="4" w:color="6CAEE0"/>
      </w:pBdr>
      <w:shd w:val="clear" w:color="auto" w:fill="97D700"/>
      <w:spacing w:before="240" w:after="240"/>
      <w:outlineLvl w:val="0"/>
    </w:pPr>
    <w:rPr>
      <w:rFonts w:ascii="Tahoma" w:eastAsiaTheme="majorEastAsia" w:hAnsi="Tahoma" w:cstheme="majorBidi"/>
      <w:bCs/>
      <w:color w:val="auto"/>
      <w:spacing w:val="0"/>
      <w:sz w:val="28"/>
      <w:szCs w:val="28"/>
    </w:rPr>
  </w:style>
  <w:style w:type="character" w:customStyle="1" w:styleId="TitleChar">
    <w:name w:val="Title Char"/>
    <w:basedOn w:val="DefaultParagraphFont"/>
    <w:link w:val="Title"/>
    <w:uiPriority w:val="10"/>
    <w:rsid w:val="003A51E1"/>
    <w:rPr>
      <w:rFonts w:ascii="Tahoma" w:eastAsiaTheme="majorEastAsia" w:hAnsi="Tahoma" w:cstheme="majorBidi"/>
      <w:bCs/>
      <w:sz w:val="28"/>
      <w:szCs w:val="28"/>
      <w:shd w:val="clear" w:color="auto" w:fill="97D700"/>
      <w:lang w:eastAsia="en-US"/>
    </w:rPr>
  </w:style>
  <w:style w:type="paragraph" w:styleId="Subtitle">
    <w:name w:val="Subtitle"/>
    <w:basedOn w:val="Normal"/>
    <w:next w:val="Normal"/>
    <w:link w:val="SubtitleChar"/>
    <w:uiPriority w:val="11"/>
    <w:qFormat/>
    <w:rsid w:val="003A51E1"/>
    <w:pPr>
      <w:numPr>
        <w:ilvl w:val="1"/>
      </w:numPr>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3A51E1"/>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628342">
      <w:bodyDiv w:val="1"/>
      <w:marLeft w:val="0"/>
      <w:marRight w:val="0"/>
      <w:marTop w:val="0"/>
      <w:marBottom w:val="0"/>
      <w:divBdr>
        <w:top w:val="none" w:sz="0" w:space="0" w:color="auto"/>
        <w:left w:val="none" w:sz="0" w:space="0" w:color="auto"/>
        <w:bottom w:val="none" w:sz="0" w:space="0" w:color="auto"/>
        <w:right w:val="none" w:sz="0" w:space="0" w:color="auto"/>
      </w:divBdr>
      <w:divsChild>
        <w:div w:id="1592737658">
          <w:marLeft w:val="5800"/>
          <w:marRight w:val="0"/>
          <w:marTop w:val="1100"/>
          <w:marBottom w:val="0"/>
          <w:divBdr>
            <w:top w:val="none" w:sz="0" w:space="0" w:color="auto"/>
            <w:left w:val="single" w:sz="8" w:space="20" w:color="000000"/>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28607-2D56-447F-A6DA-4C7192ECD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1188</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EXAMPLE</vt:lpstr>
    </vt:vector>
  </TitlesOfParts>
  <Company>BKG</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dc:title>
  <dc:creator>Carolek</dc:creator>
  <cp:lastModifiedBy>Lisa Smith</cp:lastModifiedBy>
  <cp:revision>9</cp:revision>
  <cp:lastPrinted>2020-07-08T08:14:00Z</cp:lastPrinted>
  <dcterms:created xsi:type="dcterms:W3CDTF">2025-02-18T15:16:00Z</dcterms:created>
  <dcterms:modified xsi:type="dcterms:W3CDTF">2025-02-20T09:58:00Z</dcterms:modified>
</cp:coreProperties>
</file>