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CF7B6" w14:textId="7C79360F" w:rsidR="00F03289" w:rsidRPr="00D405C7" w:rsidRDefault="00EC1604" w:rsidP="00F03289">
      <w:pPr>
        <w:autoSpaceDE w:val="0"/>
        <w:autoSpaceDN w:val="0"/>
        <w:adjustRightInd w:val="0"/>
        <w:spacing w:line="240" w:lineRule="auto"/>
        <w:jc w:val="center"/>
        <w:rPr>
          <w:rFonts w:cs="Tahoma"/>
          <w:b/>
          <w:color w:val="000000"/>
          <w:sz w:val="22"/>
          <w:u w:val="single"/>
        </w:rPr>
      </w:pPr>
      <w:r w:rsidRPr="0017524E">
        <w:rPr>
          <w:rFonts w:cs="Tahoma"/>
          <w:b/>
          <w:bCs/>
          <w:color w:val="000000"/>
          <w:sz w:val="22"/>
          <w:highlight w:val="yellow"/>
          <w:u w:val="single"/>
        </w:rPr>
        <w:t>[Name of firm]</w:t>
      </w:r>
      <w:r w:rsidRPr="0017524E">
        <w:rPr>
          <w:rFonts w:cs="Tahoma"/>
          <w:b/>
          <w:color w:val="000000"/>
          <w:sz w:val="22"/>
          <w:u w:val="single"/>
        </w:rPr>
        <w:t xml:space="preserve"> </w:t>
      </w:r>
      <w:r w:rsidR="00F03289" w:rsidRPr="0017524E">
        <w:rPr>
          <w:rFonts w:cs="Tahoma"/>
          <w:b/>
          <w:color w:val="000000"/>
          <w:sz w:val="22"/>
          <w:u w:val="single"/>
        </w:rPr>
        <w:t>Anti</w:t>
      </w:r>
      <w:r w:rsidR="00803EA0">
        <w:rPr>
          <w:rFonts w:cs="Tahoma"/>
          <w:b/>
          <w:color w:val="000000"/>
          <w:sz w:val="22"/>
          <w:u w:val="single"/>
        </w:rPr>
        <w:t>-</w:t>
      </w:r>
      <w:r w:rsidR="00F03289" w:rsidRPr="00D405C7">
        <w:rPr>
          <w:rFonts w:cs="Tahoma"/>
          <w:b/>
          <w:color w:val="000000"/>
          <w:sz w:val="22"/>
          <w:u w:val="single"/>
        </w:rPr>
        <w:t>Bribery and Corruption Policy</w:t>
      </w:r>
    </w:p>
    <w:p w14:paraId="4D27F960" w14:textId="77777777" w:rsidR="00F03289" w:rsidRPr="00D405C7" w:rsidRDefault="00F03289" w:rsidP="00F03289">
      <w:pPr>
        <w:autoSpaceDE w:val="0"/>
        <w:autoSpaceDN w:val="0"/>
        <w:adjustRightInd w:val="0"/>
        <w:spacing w:line="240" w:lineRule="auto"/>
        <w:jc w:val="center"/>
        <w:rPr>
          <w:rFonts w:cs="Tahoma"/>
          <w:color w:val="000000"/>
          <w:sz w:val="22"/>
        </w:rPr>
      </w:pPr>
    </w:p>
    <w:p w14:paraId="1196C63F" w14:textId="7D66830E" w:rsidR="007211D7" w:rsidRPr="00D405C7" w:rsidRDefault="00D405C7" w:rsidP="00D405C7">
      <w:pPr>
        <w:pStyle w:val="BodyText1"/>
        <w:spacing w:after="0"/>
        <w:rPr>
          <w:rFonts w:cs="Tahoma"/>
          <w:b/>
          <w:bCs/>
          <w:sz w:val="22"/>
        </w:rPr>
      </w:pPr>
      <w:r w:rsidRPr="00D405C7">
        <w:rPr>
          <w:rFonts w:cs="Tahoma"/>
          <w:b/>
          <w:bCs/>
          <w:sz w:val="22"/>
        </w:rPr>
        <w:t>Definition</w:t>
      </w:r>
    </w:p>
    <w:p w14:paraId="532E97BD" w14:textId="585DE3A0" w:rsidR="00D405C7" w:rsidRPr="00D405C7" w:rsidRDefault="00D405C7" w:rsidP="00D405C7">
      <w:pPr>
        <w:rPr>
          <w:rFonts w:cs="Tahoma"/>
          <w:color w:val="000000"/>
          <w:sz w:val="22"/>
        </w:rPr>
      </w:pPr>
      <w:r w:rsidRPr="00D405C7">
        <w:rPr>
          <w:rFonts w:cs="Tahoma"/>
          <w:color w:val="000000"/>
          <w:sz w:val="22"/>
        </w:rPr>
        <w:t xml:space="preserve">The Bribery Act 2010 contains two general offences covering the offering, </w:t>
      </w:r>
      <w:proofErr w:type="gramStart"/>
      <w:r w:rsidRPr="00D405C7">
        <w:rPr>
          <w:rFonts w:cs="Tahoma"/>
          <w:color w:val="000000"/>
          <w:sz w:val="22"/>
        </w:rPr>
        <w:t>promising</w:t>
      </w:r>
      <w:proofErr w:type="gramEnd"/>
      <w:r w:rsidRPr="00D405C7">
        <w:rPr>
          <w:rFonts w:cs="Tahoma"/>
          <w:color w:val="000000"/>
          <w:sz w:val="22"/>
        </w:rPr>
        <w:t xml:space="preserve"> or giving of a bribe (active bribery); and the requesting, agreeing to receive or accepting of a bribe (passive bribery). It also sets out two further offences which specifically address commercial bribery: (</w:t>
      </w:r>
      <w:proofErr w:type="spellStart"/>
      <w:r w:rsidRPr="00D405C7">
        <w:rPr>
          <w:rFonts w:cs="Tahoma"/>
          <w:color w:val="000000"/>
          <w:sz w:val="22"/>
        </w:rPr>
        <w:t>i</w:t>
      </w:r>
      <w:proofErr w:type="spellEnd"/>
      <w:r w:rsidRPr="00D405C7">
        <w:rPr>
          <w:rFonts w:cs="Tahoma"/>
          <w:color w:val="000000"/>
          <w:sz w:val="22"/>
        </w:rPr>
        <w:t xml:space="preserve">) bribery of a foreign public official; and (ii) ‘failing to prevent bribery’, which applies to commercial organisations or those performing services on their behalf.  Under (ii) </w:t>
      </w:r>
      <w:r w:rsidRPr="00D405C7">
        <w:rPr>
          <w:rFonts w:cs="Tahoma"/>
          <w:bCs/>
          <w:color w:val="000000"/>
          <w:sz w:val="22"/>
        </w:rPr>
        <w:t>it will be</w:t>
      </w:r>
      <w:r w:rsidRPr="00D405C7">
        <w:rPr>
          <w:rFonts w:cs="Tahoma"/>
          <w:color w:val="000000"/>
          <w:sz w:val="22"/>
        </w:rPr>
        <w:t xml:space="preserve"> a defence for a firm if it can demonstrate that it has adequate procedures to prevent bribery.  </w:t>
      </w:r>
    </w:p>
    <w:p w14:paraId="3D8022A0" w14:textId="77777777" w:rsidR="00D405C7" w:rsidRPr="00D405C7" w:rsidRDefault="00D405C7" w:rsidP="00D405C7">
      <w:pPr>
        <w:rPr>
          <w:rFonts w:cs="Tahoma"/>
          <w:color w:val="000000"/>
          <w:sz w:val="22"/>
        </w:rPr>
      </w:pPr>
    </w:p>
    <w:p w14:paraId="77BD1C5A" w14:textId="77777777" w:rsidR="00D405C7" w:rsidRPr="00D405C7" w:rsidRDefault="00D405C7" w:rsidP="00D405C7">
      <w:pPr>
        <w:rPr>
          <w:rFonts w:cs="Tahoma"/>
          <w:color w:val="000000"/>
          <w:sz w:val="22"/>
        </w:rPr>
      </w:pPr>
      <w:r w:rsidRPr="00D405C7">
        <w:rPr>
          <w:rFonts w:cs="Tahoma"/>
          <w:b/>
          <w:color w:val="000000"/>
          <w:sz w:val="22"/>
        </w:rPr>
        <w:t>What is a bribe?</w:t>
      </w:r>
    </w:p>
    <w:p w14:paraId="685259A5" w14:textId="4FFE2288" w:rsidR="00D405C7" w:rsidRPr="00D405C7" w:rsidRDefault="00D405C7" w:rsidP="00D405C7">
      <w:pPr>
        <w:pStyle w:val="Pa4"/>
        <w:rPr>
          <w:rFonts w:ascii="Tahoma" w:hAnsi="Tahoma" w:cs="Tahoma"/>
          <w:color w:val="000000"/>
          <w:sz w:val="22"/>
          <w:szCs w:val="22"/>
        </w:rPr>
      </w:pPr>
      <w:r w:rsidRPr="00D405C7">
        <w:rPr>
          <w:rFonts w:ascii="Tahoma" w:hAnsi="Tahoma" w:cs="Tahoma"/>
          <w:color w:val="000000"/>
          <w:sz w:val="22"/>
          <w:szCs w:val="22"/>
        </w:rPr>
        <w:t xml:space="preserve">It is an offence to offer, promise or give a </w:t>
      </w:r>
      <w:r w:rsidRPr="00D405C7">
        <w:rPr>
          <w:rFonts w:ascii="Tahoma" w:hAnsi="Tahoma" w:cs="Tahoma"/>
          <w:b/>
          <w:color w:val="000000"/>
          <w:sz w:val="22"/>
          <w:szCs w:val="22"/>
        </w:rPr>
        <w:t>financial or other advantage</w:t>
      </w:r>
      <w:r w:rsidRPr="00D405C7">
        <w:rPr>
          <w:rFonts w:ascii="Tahoma" w:hAnsi="Tahoma" w:cs="Tahoma"/>
          <w:color w:val="000000"/>
          <w:sz w:val="22"/>
          <w:szCs w:val="22"/>
        </w:rPr>
        <w:t xml:space="preserve"> to another person </w:t>
      </w:r>
    </w:p>
    <w:p w14:paraId="3A45EC87" w14:textId="77777777" w:rsidR="00D405C7" w:rsidRPr="00D405C7" w:rsidRDefault="00D405C7" w:rsidP="00D405C7">
      <w:pPr>
        <w:pStyle w:val="Pa4"/>
        <w:numPr>
          <w:ilvl w:val="0"/>
          <w:numId w:val="18"/>
        </w:numPr>
        <w:rPr>
          <w:rFonts w:ascii="Tahoma" w:hAnsi="Tahoma" w:cs="Tahoma"/>
          <w:color w:val="000000"/>
          <w:sz w:val="22"/>
          <w:szCs w:val="22"/>
        </w:rPr>
      </w:pPr>
      <w:r w:rsidRPr="00D405C7">
        <w:rPr>
          <w:rFonts w:ascii="Tahoma" w:hAnsi="Tahoma" w:cs="Tahoma"/>
          <w:color w:val="000000"/>
          <w:sz w:val="22"/>
          <w:szCs w:val="22"/>
        </w:rPr>
        <w:t xml:space="preserve">with the intention of bringing about the </w:t>
      </w:r>
      <w:r w:rsidRPr="00D405C7">
        <w:rPr>
          <w:rFonts w:ascii="Tahoma" w:hAnsi="Tahoma" w:cs="Tahoma"/>
          <w:b/>
          <w:color w:val="000000"/>
          <w:sz w:val="22"/>
          <w:szCs w:val="22"/>
        </w:rPr>
        <w:t>improper</w:t>
      </w:r>
      <w:r w:rsidRPr="00D405C7">
        <w:rPr>
          <w:rFonts w:ascii="Tahoma" w:hAnsi="Tahoma" w:cs="Tahoma"/>
          <w:color w:val="000000"/>
          <w:sz w:val="22"/>
          <w:szCs w:val="22"/>
        </w:rPr>
        <w:t xml:space="preserve"> performance</w:t>
      </w:r>
      <w:r w:rsidRPr="00D405C7">
        <w:rPr>
          <w:rFonts w:ascii="Tahoma" w:hAnsi="Tahoma" w:cs="Tahoma"/>
          <w:b/>
          <w:color w:val="000000"/>
          <w:sz w:val="22"/>
          <w:szCs w:val="22"/>
        </w:rPr>
        <w:t xml:space="preserve"> </w:t>
      </w:r>
      <w:r w:rsidRPr="00D405C7">
        <w:rPr>
          <w:rFonts w:ascii="Tahoma" w:hAnsi="Tahoma" w:cs="Tahoma"/>
          <w:color w:val="000000"/>
          <w:sz w:val="22"/>
          <w:szCs w:val="22"/>
        </w:rPr>
        <w:t>by another person of a relevant function or activity or to reward such improper performance; or</w:t>
      </w:r>
    </w:p>
    <w:p w14:paraId="278FCBDD" w14:textId="77777777" w:rsidR="00D405C7" w:rsidRPr="00D405C7" w:rsidRDefault="00D405C7" w:rsidP="00D405C7">
      <w:pPr>
        <w:pStyle w:val="ListParagraph"/>
        <w:numPr>
          <w:ilvl w:val="0"/>
          <w:numId w:val="18"/>
        </w:numPr>
        <w:spacing w:after="200"/>
        <w:rPr>
          <w:rFonts w:cs="Tahoma"/>
          <w:sz w:val="22"/>
        </w:rPr>
      </w:pPr>
      <w:r w:rsidRPr="00D405C7">
        <w:rPr>
          <w:rFonts w:cs="Tahoma"/>
          <w:color w:val="000000"/>
          <w:sz w:val="22"/>
        </w:rPr>
        <w:t xml:space="preserve">in the knowledge that the acceptance of the advantage offered, </w:t>
      </w:r>
      <w:proofErr w:type="gramStart"/>
      <w:r w:rsidRPr="00D405C7">
        <w:rPr>
          <w:rFonts w:cs="Tahoma"/>
          <w:color w:val="000000"/>
          <w:sz w:val="22"/>
        </w:rPr>
        <w:t>promised</w:t>
      </w:r>
      <w:proofErr w:type="gramEnd"/>
      <w:r w:rsidRPr="00D405C7">
        <w:rPr>
          <w:rFonts w:cs="Tahoma"/>
          <w:color w:val="000000"/>
          <w:sz w:val="22"/>
        </w:rPr>
        <w:t xml:space="preserve"> or given in itself constitutes the </w:t>
      </w:r>
      <w:r w:rsidRPr="00D405C7">
        <w:rPr>
          <w:rFonts w:cs="Tahoma"/>
          <w:b/>
          <w:color w:val="000000"/>
          <w:sz w:val="22"/>
        </w:rPr>
        <w:t xml:space="preserve">improper </w:t>
      </w:r>
      <w:r w:rsidRPr="00D405C7">
        <w:rPr>
          <w:rFonts w:cs="Tahoma"/>
          <w:color w:val="000000"/>
          <w:sz w:val="22"/>
        </w:rPr>
        <w:t>performance of a relevant function or activity.</w:t>
      </w:r>
    </w:p>
    <w:p w14:paraId="61F9841E" w14:textId="77777777" w:rsidR="00D405C7" w:rsidRDefault="00D405C7" w:rsidP="00D405C7">
      <w:pPr>
        <w:rPr>
          <w:rFonts w:cs="Tahoma"/>
          <w:color w:val="000000"/>
          <w:sz w:val="22"/>
        </w:rPr>
      </w:pPr>
      <w:r w:rsidRPr="00D405C7">
        <w:rPr>
          <w:rFonts w:cs="Tahoma"/>
          <w:color w:val="000000"/>
          <w:sz w:val="22"/>
        </w:rPr>
        <w:t>A ‘financial or other advantage’ can include cash payments; gifts; hospitality; wiping a debt; or providing free services.</w:t>
      </w:r>
      <w:r>
        <w:rPr>
          <w:rFonts w:cs="Tahoma"/>
          <w:color w:val="000000"/>
          <w:sz w:val="22"/>
        </w:rPr>
        <w:t xml:space="preserve">  </w:t>
      </w:r>
    </w:p>
    <w:p w14:paraId="5C79E26D" w14:textId="5C36BAE3" w:rsidR="00D405C7" w:rsidRPr="00D405C7" w:rsidRDefault="00D405C7" w:rsidP="00D405C7">
      <w:pPr>
        <w:rPr>
          <w:rFonts w:cs="Tahoma"/>
          <w:color w:val="000000"/>
          <w:sz w:val="22"/>
        </w:rPr>
      </w:pPr>
      <w:r>
        <w:rPr>
          <w:rFonts w:cs="Tahoma"/>
          <w:color w:val="000000"/>
          <w:sz w:val="22"/>
        </w:rPr>
        <w:t>‘</w:t>
      </w:r>
      <w:r w:rsidRPr="00D405C7">
        <w:rPr>
          <w:rFonts w:cs="Tahoma"/>
          <w:color w:val="000000"/>
          <w:sz w:val="22"/>
        </w:rPr>
        <w:t>Improper’ really means a breach of an expectation that a person will act in good faith, impartially, or in accordance with a position of trust.</w:t>
      </w:r>
    </w:p>
    <w:p w14:paraId="4AF0678F" w14:textId="77777777" w:rsidR="00D405C7" w:rsidRPr="00D405C7" w:rsidRDefault="00D405C7" w:rsidP="00D405C7">
      <w:pPr>
        <w:rPr>
          <w:rFonts w:cs="Tahoma"/>
          <w:color w:val="000000"/>
          <w:sz w:val="22"/>
        </w:rPr>
      </w:pPr>
    </w:p>
    <w:p w14:paraId="03C1AB60" w14:textId="140508C1" w:rsidR="00D405C7" w:rsidRDefault="00D405C7" w:rsidP="0017524E">
      <w:pPr>
        <w:rPr>
          <w:rFonts w:cs="Tahoma"/>
          <w:color w:val="000000"/>
          <w:sz w:val="22"/>
        </w:rPr>
      </w:pPr>
      <w:r w:rsidRPr="00D405C7">
        <w:rPr>
          <w:rFonts w:cs="Tahoma"/>
          <w:color w:val="000000"/>
          <w:sz w:val="22"/>
        </w:rPr>
        <w:t>For the purposes of deciding whether a function or activity has been performed improperly, the test of what is expected is a test of what a reasonable person would expect in relation to the performance of that function or activity.</w:t>
      </w:r>
    </w:p>
    <w:p w14:paraId="01015ABB" w14:textId="77777777" w:rsidR="00D405C7" w:rsidRPr="00D405C7" w:rsidRDefault="00D405C7" w:rsidP="007211D7">
      <w:pPr>
        <w:pStyle w:val="BodyText1"/>
        <w:spacing w:after="0"/>
        <w:rPr>
          <w:rFonts w:cs="Tahoma"/>
          <w:sz w:val="22"/>
          <w:highlight w:val="yellow"/>
        </w:rPr>
      </w:pPr>
    </w:p>
    <w:p w14:paraId="0F367BDE" w14:textId="76724163" w:rsidR="00F03289" w:rsidRPr="00D405C7" w:rsidRDefault="00EC1604" w:rsidP="00F03289">
      <w:pPr>
        <w:pStyle w:val="BodyText1"/>
        <w:rPr>
          <w:rFonts w:cs="Tahoma"/>
          <w:sz w:val="22"/>
        </w:rPr>
      </w:pPr>
      <w:r w:rsidRPr="00EC1604">
        <w:rPr>
          <w:rFonts w:cs="Tahoma"/>
          <w:bCs/>
          <w:color w:val="000000"/>
          <w:sz w:val="22"/>
          <w:highlight w:val="yellow"/>
        </w:rPr>
        <w:t>[Name of firm]</w:t>
      </w:r>
      <w:r>
        <w:rPr>
          <w:rFonts w:cs="Tahoma"/>
          <w:sz w:val="22"/>
        </w:rPr>
        <w:t xml:space="preserve"> </w:t>
      </w:r>
      <w:r w:rsidR="00F03289" w:rsidRPr="00D405C7">
        <w:rPr>
          <w:rFonts w:cs="Tahoma"/>
          <w:sz w:val="22"/>
        </w:rPr>
        <w:t xml:space="preserve">recognises its regulatory responsibilities concerning anti-bribery and corruption as covered in the </w:t>
      </w:r>
      <w:r w:rsidR="00B77AAA" w:rsidRPr="00D405C7">
        <w:rPr>
          <w:rFonts w:cs="Tahoma"/>
          <w:sz w:val="22"/>
        </w:rPr>
        <w:t>FCA</w:t>
      </w:r>
      <w:r w:rsidR="00F03289" w:rsidRPr="00D405C7">
        <w:rPr>
          <w:rFonts w:cs="Tahoma"/>
          <w:sz w:val="22"/>
        </w:rPr>
        <w:t xml:space="preserve">’s Principles for </w:t>
      </w:r>
      <w:proofErr w:type="gramStart"/>
      <w:r w:rsidR="00F03289" w:rsidRPr="00D405C7">
        <w:rPr>
          <w:rFonts w:cs="Tahoma"/>
          <w:sz w:val="22"/>
        </w:rPr>
        <w:t>Business:-</w:t>
      </w:r>
      <w:proofErr w:type="gramEnd"/>
    </w:p>
    <w:p w14:paraId="383A9D62" w14:textId="18436575" w:rsidR="00F03289" w:rsidRPr="00D405C7" w:rsidRDefault="00F03289" w:rsidP="00F03289">
      <w:pPr>
        <w:pStyle w:val="bodytextarrowbullets"/>
        <w:rPr>
          <w:sz w:val="22"/>
          <w:szCs w:val="22"/>
        </w:rPr>
      </w:pPr>
      <w:r w:rsidRPr="00D405C7">
        <w:rPr>
          <w:sz w:val="22"/>
          <w:szCs w:val="22"/>
        </w:rPr>
        <w:t>Principle 1 which requires firms to conduct business with integrity.</w:t>
      </w:r>
    </w:p>
    <w:p w14:paraId="3BB4991C" w14:textId="77777777" w:rsidR="00F03289" w:rsidRPr="00D405C7" w:rsidRDefault="00F03289" w:rsidP="00F03289">
      <w:pPr>
        <w:pStyle w:val="bodytextarrowbullets"/>
        <w:rPr>
          <w:sz w:val="22"/>
          <w:szCs w:val="22"/>
        </w:rPr>
      </w:pPr>
      <w:r w:rsidRPr="00D405C7">
        <w:rPr>
          <w:sz w:val="22"/>
          <w:szCs w:val="22"/>
        </w:rPr>
        <w:t>Principle 2 which requires firms to conduct business with due skill, care and diligence.</w:t>
      </w:r>
    </w:p>
    <w:p w14:paraId="1A629F37" w14:textId="77777777" w:rsidR="00F03289" w:rsidRPr="00D405C7" w:rsidRDefault="00F03289" w:rsidP="00F03289">
      <w:pPr>
        <w:pStyle w:val="bodytextarrowbullets"/>
        <w:rPr>
          <w:sz w:val="22"/>
          <w:szCs w:val="22"/>
        </w:rPr>
      </w:pPr>
      <w:r w:rsidRPr="00D405C7">
        <w:rPr>
          <w:sz w:val="22"/>
          <w:szCs w:val="22"/>
        </w:rPr>
        <w:t xml:space="preserve">Principle 3 which requires firms to take reasonable care to organise and control their affairs responsibly and effectively, with adequate risk management systems. </w:t>
      </w:r>
    </w:p>
    <w:p w14:paraId="5482C4DD" w14:textId="165BBE7D" w:rsidR="00F03289" w:rsidRPr="00D405C7" w:rsidRDefault="00EC1604" w:rsidP="00F03289">
      <w:pPr>
        <w:pStyle w:val="BodyText1"/>
        <w:rPr>
          <w:rFonts w:cs="Tahoma"/>
          <w:sz w:val="22"/>
        </w:rPr>
      </w:pPr>
      <w:r w:rsidRPr="00EC1604">
        <w:rPr>
          <w:rFonts w:cs="Tahoma"/>
          <w:bCs/>
          <w:color w:val="000000"/>
          <w:sz w:val="22"/>
          <w:highlight w:val="yellow"/>
        </w:rPr>
        <w:t>[Name of firm]</w:t>
      </w:r>
      <w:r>
        <w:rPr>
          <w:rFonts w:cs="Tahoma"/>
          <w:sz w:val="22"/>
        </w:rPr>
        <w:t xml:space="preserve"> </w:t>
      </w:r>
      <w:r w:rsidR="00F03289" w:rsidRPr="00D405C7">
        <w:rPr>
          <w:rFonts w:cs="Tahoma"/>
          <w:sz w:val="22"/>
        </w:rPr>
        <w:t xml:space="preserve">further acknowledges that </w:t>
      </w:r>
      <w:r w:rsidR="00B77AAA" w:rsidRPr="00D405C7">
        <w:rPr>
          <w:rFonts w:cs="Tahoma"/>
          <w:sz w:val="22"/>
        </w:rPr>
        <w:t>FCA</w:t>
      </w:r>
      <w:r w:rsidR="00F03289" w:rsidRPr="00D405C7">
        <w:rPr>
          <w:rFonts w:cs="Tahoma"/>
          <w:sz w:val="22"/>
        </w:rPr>
        <w:t xml:space="preserve"> rule SYSC 3.2.6R requires firms to </w:t>
      </w:r>
      <w:bookmarkStart w:id="0" w:name="_Hlk33682671"/>
      <w:r w:rsidR="00F03289" w:rsidRPr="00D405C7">
        <w:rPr>
          <w:rFonts w:cs="Tahoma"/>
          <w:sz w:val="22"/>
        </w:rPr>
        <w:t xml:space="preserve">‘…establish and maintain effective systems and controls… for countering the risk that the firm might be used to further financial crime’. </w:t>
      </w:r>
      <w:bookmarkEnd w:id="0"/>
      <w:r w:rsidR="00D405C7" w:rsidRPr="00D405C7">
        <w:rPr>
          <w:rFonts w:cs="Tahoma"/>
          <w:sz w:val="22"/>
        </w:rPr>
        <w:t xml:space="preserve">  </w:t>
      </w:r>
      <w:r w:rsidR="00D405C7" w:rsidRPr="00D405C7">
        <w:rPr>
          <w:sz w:val="22"/>
        </w:rPr>
        <w:t xml:space="preserve">We are required to allocate responsibility </w:t>
      </w:r>
      <w:r w:rsidR="00D405C7" w:rsidRPr="00D405C7">
        <w:rPr>
          <w:rFonts w:cs="Calibri"/>
          <w:i/>
          <w:sz w:val="22"/>
        </w:rPr>
        <w:t xml:space="preserve">for the firm’s policies and procedures for countering the risk that the firm might be used to further financial crime </w:t>
      </w:r>
      <w:r w:rsidR="00D405C7" w:rsidRPr="00D405C7">
        <w:rPr>
          <w:sz w:val="22"/>
        </w:rPr>
        <w:t xml:space="preserve">to a Senior Manager (Prescribed Responsibility d) and this must be </w:t>
      </w:r>
      <w:r w:rsidR="00D405C7" w:rsidRPr="00D405C7">
        <w:rPr>
          <w:rFonts w:cs="Calibri"/>
          <w:sz w:val="22"/>
        </w:rPr>
        <w:t>recorded in their Statement of Responsibility.</w:t>
      </w:r>
    </w:p>
    <w:p w14:paraId="37C741DB" w14:textId="77777777" w:rsidR="00F03289" w:rsidRPr="00D405C7" w:rsidRDefault="00F03289" w:rsidP="00F03289">
      <w:pPr>
        <w:pStyle w:val="BodyText1"/>
        <w:rPr>
          <w:rFonts w:cs="Tahoma"/>
          <w:sz w:val="22"/>
        </w:rPr>
      </w:pPr>
      <w:r w:rsidRPr="00D405C7">
        <w:rPr>
          <w:rFonts w:cs="Tahoma"/>
          <w:sz w:val="22"/>
        </w:rPr>
        <w:t>This policy is to be read in conjunction with:-</w:t>
      </w:r>
    </w:p>
    <w:p w14:paraId="723633CA" w14:textId="77777777" w:rsidR="00F03289" w:rsidRPr="00D405C7" w:rsidRDefault="00F03289" w:rsidP="00F03289">
      <w:pPr>
        <w:pStyle w:val="Bodytextnormalbullet"/>
        <w:rPr>
          <w:rFonts w:cs="Tahoma"/>
          <w:sz w:val="22"/>
        </w:rPr>
      </w:pPr>
      <w:r w:rsidRPr="00D405C7">
        <w:rPr>
          <w:rFonts w:cs="Tahoma"/>
          <w:sz w:val="22"/>
        </w:rPr>
        <w:t xml:space="preserve">The firm’s whistle blowing procedures. </w:t>
      </w:r>
    </w:p>
    <w:p w14:paraId="246DC64B" w14:textId="4F9E97C4" w:rsidR="00B77AAA" w:rsidRPr="00D405C7" w:rsidRDefault="00F03289" w:rsidP="00F03289">
      <w:pPr>
        <w:pStyle w:val="Bodytextnormalbullet"/>
        <w:rPr>
          <w:rFonts w:cs="Tahoma"/>
          <w:sz w:val="22"/>
        </w:rPr>
      </w:pPr>
      <w:r w:rsidRPr="00D405C7">
        <w:rPr>
          <w:rFonts w:cs="Tahoma"/>
          <w:sz w:val="22"/>
        </w:rPr>
        <w:t xml:space="preserve">The firm’s </w:t>
      </w:r>
      <w:r w:rsidR="00000525">
        <w:rPr>
          <w:rFonts w:cs="Tahoma"/>
          <w:sz w:val="22"/>
        </w:rPr>
        <w:t>m</w:t>
      </w:r>
      <w:r w:rsidR="00B77AAA" w:rsidRPr="00D405C7">
        <w:rPr>
          <w:rFonts w:cs="Tahoma"/>
          <w:sz w:val="22"/>
        </w:rPr>
        <w:t xml:space="preserve">oney </w:t>
      </w:r>
      <w:r w:rsidR="00000525">
        <w:rPr>
          <w:rFonts w:cs="Tahoma"/>
          <w:sz w:val="22"/>
        </w:rPr>
        <w:t>l</w:t>
      </w:r>
      <w:r w:rsidR="00B77AAA" w:rsidRPr="00D405C7">
        <w:rPr>
          <w:rFonts w:cs="Tahoma"/>
          <w:sz w:val="22"/>
        </w:rPr>
        <w:t xml:space="preserve">aundering </w:t>
      </w:r>
      <w:r w:rsidRPr="00D405C7">
        <w:rPr>
          <w:rFonts w:cs="Tahoma"/>
          <w:sz w:val="22"/>
        </w:rPr>
        <w:t>policy</w:t>
      </w:r>
      <w:r w:rsidR="00803EA0">
        <w:rPr>
          <w:rFonts w:cs="Tahoma"/>
          <w:sz w:val="22"/>
        </w:rPr>
        <w:t>.</w:t>
      </w:r>
    </w:p>
    <w:p w14:paraId="225CF31B" w14:textId="2786C0C2" w:rsidR="00F03289" w:rsidRPr="00D405C7" w:rsidRDefault="00B77AAA" w:rsidP="00F03289">
      <w:pPr>
        <w:pStyle w:val="Bodytextnormalbullet"/>
        <w:rPr>
          <w:rFonts w:cs="Tahoma"/>
          <w:sz w:val="22"/>
        </w:rPr>
      </w:pPr>
      <w:r w:rsidRPr="00D405C7">
        <w:rPr>
          <w:rFonts w:cs="Tahoma"/>
          <w:sz w:val="22"/>
        </w:rPr>
        <w:t xml:space="preserve">The firm’s </w:t>
      </w:r>
      <w:r w:rsidR="00000525">
        <w:rPr>
          <w:rFonts w:cs="Tahoma"/>
          <w:sz w:val="22"/>
        </w:rPr>
        <w:t>f</w:t>
      </w:r>
      <w:r w:rsidRPr="00D405C7">
        <w:rPr>
          <w:rFonts w:cs="Tahoma"/>
          <w:sz w:val="22"/>
        </w:rPr>
        <w:t xml:space="preserve">raud </w:t>
      </w:r>
      <w:r w:rsidR="00000525">
        <w:rPr>
          <w:rFonts w:cs="Tahoma"/>
          <w:sz w:val="22"/>
        </w:rPr>
        <w:t>p</w:t>
      </w:r>
      <w:r w:rsidRPr="00D405C7">
        <w:rPr>
          <w:rFonts w:cs="Tahoma"/>
          <w:sz w:val="22"/>
        </w:rPr>
        <w:t>revention procedures.</w:t>
      </w:r>
    </w:p>
    <w:p w14:paraId="62E70DB3" w14:textId="5200D78D" w:rsidR="00B77AAA" w:rsidRPr="00D405C7" w:rsidRDefault="00B77AAA" w:rsidP="00F03289">
      <w:pPr>
        <w:pStyle w:val="Bodytextnormalbullet"/>
        <w:rPr>
          <w:rFonts w:cs="Tahoma"/>
          <w:sz w:val="22"/>
        </w:rPr>
      </w:pPr>
      <w:r w:rsidRPr="00D405C7">
        <w:rPr>
          <w:rFonts w:cs="Tahoma"/>
          <w:sz w:val="22"/>
        </w:rPr>
        <w:t xml:space="preserve">The firm’s </w:t>
      </w:r>
      <w:r w:rsidR="00000525">
        <w:rPr>
          <w:rFonts w:cs="Tahoma"/>
          <w:sz w:val="22"/>
        </w:rPr>
        <w:t>s</w:t>
      </w:r>
      <w:r w:rsidRPr="00D405C7">
        <w:rPr>
          <w:rFonts w:cs="Tahoma"/>
          <w:sz w:val="22"/>
        </w:rPr>
        <w:t xml:space="preserve">anctions </w:t>
      </w:r>
      <w:r w:rsidR="00000525">
        <w:rPr>
          <w:rFonts w:cs="Tahoma"/>
          <w:sz w:val="22"/>
        </w:rPr>
        <w:t>c</w:t>
      </w:r>
      <w:r w:rsidRPr="00D405C7">
        <w:rPr>
          <w:rFonts w:cs="Tahoma"/>
          <w:sz w:val="22"/>
        </w:rPr>
        <w:t xml:space="preserve">hecking </w:t>
      </w:r>
      <w:r w:rsidR="00803EA0">
        <w:rPr>
          <w:rFonts w:cs="Tahoma"/>
          <w:sz w:val="22"/>
        </w:rPr>
        <w:t>p</w:t>
      </w:r>
      <w:r w:rsidR="00803EA0" w:rsidRPr="00D405C7">
        <w:rPr>
          <w:rFonts w:cs="Tahoma"/>
          <w:sz w:val="22"/>
        </w:rPr>
        <w:t>olicy</w:t>
      </w:r>
      <w:r w:rsidRPr="00D405C7">
        <w:rPr>
          <w:rFonts w:cs="Tahoma"/>
          <w:sz w:val="22"/>
        </w:rPr>
        <w:t>.</w:t>
      </w:r>
    </w:p>
    <w:p w14:paraId="55058363" w14:textId="76C16510" w:rsidR="00F03289" w:rsidRPr="00D405C7" w:rsidRDefault="00F03289" w:rsidP="00F03289">
      <w:pPr>
        <w:pStyle w:val="Bodytextnormalbullet"/>
        <w:rPr>
          <w:rFonts w:cs="Tahoma"/>
          <w:sz w:val="22"/>
        </w:rPr>
      </w:pPr>
      <w:r w:rsidRPr="00D405C7">
        <w:rPr>
          <w:rFonts w:cs="Tahoma"/>
          <w:sz w:val="22"/>
        </w:rPr>
        <w:lastRenderedPageBreak/>
        <w:t xml:space="preserve">The firm’s </w:t>
      </w:r>
      <w:r w:rsidR="00000525">
        <w:rPr>
          <w:rFonts w:cs="Tahoma"/>
          <w:sz w:val="22"/>
        </w:rPr>
        <w:t>c</w:t>
      </w:r>
      <w:r w:rsidRPr="00D405C7">
        <w:rPr>
          <w:rFonts w:cs="Tahoma"/>
          <w:sz w:val="22"/>
        </w:rPr>
        <w:t xml:space="preserve">onflicts of </w:t>
      </w:r>
      <w:r w:rsidR="00000525">
        <w:rPr>
          <w:rFonts w:cs="Tahoma"/>
          <w:sz w:val="22"/>
        </w:rPr>
        <w:t>i</w:t>
      </w:r>
      <w:r w:rsidRPr="00D405C7">
        <w:rPr>
          <w:rFonts w:cs="Tahoma"/>
          <w:sz w:val="22"/>
        </w:rPr>
        <w:t>nterest policy including reference to unfair inducements</w:t>
      </w:r>
      <w:r w:rsidR="00803EA0">
        <w:rPr>
          <w:rFonts w:cs="Tahoma"/>
          <w:sz w:val="22"/>
        </w:rPr>
        <w:t>.</w:t>
      </w:r>
    </w:p>
    <w:p w14:paraId="4F8E545E" w14:textId="77777777" w:rsidR="00F03289" w:rsidRPr="00D405C7" w:rsidRDefault="00F03289" w:rsidP="00F03289">
      <w:pPr>
        <w:pStyle w:val="Heading2"/>
        <w:rPr>
          <w:rFonts w:cs="Tahoma"/>
          <w:szCs w:val="22"/>
        </w:rPr>
      </w:pPr>
      <w:r w:rsidRPr="00D405C7">
        <w:rPr>
          <w:rFonts w:cs="Tahoma"/>
          <w:szCs w:val="22"/>
        </w:rPr>
        <w:t>Who is considered a third party?</w:t>
      </w:r>
    </w:p>
    <w:p w14:paraId="2247671A" w14:textId="058FF6BF" w:rsidR="00F03289" w:rsidRPr="00D405C7" w:rsidRDefault="00F03289" w:rsidP="00F03289">
      <w:pPr>
        <w:pStyle w:val="BodyText1"/>
        <w:rPr>
          <w:rFonts w:cs="Tahoma"/>
          <w:sz w:val="22"/>
        </w:rPr>
      </w:pPr>
      <w:r w:rsidRPr="00D405C7">
        <w:rPr>
          <w:rFonts w:cs="Tahoma"/>
          <w:sz w:val="22"/>
        </w:rPr>
        <w:t xml:space="preserve">All companies and/or individuals involved in insurance transactions who are not the </w:t>
      </w:r>
      <w:proofErr w:type="gramStart"/>
      <w:r w:rsidRPr="00D405C7">
        <w:rPr>
          <w:rFonts w:cs="Tahoma"/>
          <w:sz w:val="22"/>
        </w:rPr>
        <w:t>underwriters</w:t>
      </w:r>
      <w:proofErr w:type="gramEnd"/>
      <w:r w:rsidRPr="00D405C7">
        <w:rPr>
          <w:rFonts w:cs="Tahoma"/>
          <w:sz w:val="22"/>
        </w:rPr>
        <w:t xml:space="preserve"> or the insured are deemed to be a third party, for example,</w:t>
      </w:r>
    </w:p>
    <w:p w14:paraId="284B18D4" w14:textId="7EF9BB59" w:rsidR="00F03289" w:rsidRPr="00D405C7" w:rsidRDefault="00F03289" w:rsidP="00F03289">
      <w:pPr>
        <w:pStyle w:val="bodytextarrowbullets"/>
        <w:rPr>
          <w:sz w:val="22"/>
          <w:szCs w:val="22"/>
        </w:rPr>
      </w:pPr>
      <w:r w:rsidRPr="00D405C7">
        <w:rPr>
          <w:sz w:val="22"/>
          <w:szCs w:val="22"/>
        </w:rPr>
        <w:t>Introducers</w:t>
      </w:r>
      <w:r w:rsidR="00803EA0">
        <w:rPr>
          <w:sz w:val="22"/>
          <w:szCs w:val="22"/>
        </w:rPr>
        <w:t>.</w:t>
      </w:r>
    </w:p>
    <w:p w14:paraId="64044253" w14:textId="0A66FAB0" w:rsidR="00F03289" w:rsidRPr="00D405C7" w:rsidRDefault="00F03289" w:rsidP="00F03289">
      <w:pPr>
        <w:pStyle w:val="bodytextarrowbullets"/>
        <w:rPr>
          <w:sz w:val="22"/>
          <w:szCs w:val="22"/>
        </w:rPr>
      </w:pPr>
      <w:r w:rsidRPr="00D405C7">
        <w:rPr>
          <w:sz w:val="22"/>
          <w:szCs w:val="22"/>
        </w:rPr>
        <w:t>Introducer Appointed Representatives</w:t>
      </w:r>
      <w:r w:rsidR="00803EA0">
        <w:rPr>
          <w:sz w:val="22"/>
          <w:szCs w:val="22"/>
        </w:rPr>
        <w:t>.</w:t>
      </w:r>
    </w:p>
    <w:p w14:paraId="127144AB" w14:textId="4D954DDA" w:rsidR="00F03289" w:rsidRPr="00D405C7" w:rsidRDefault="00F03289" w:rsidP="00F03289">
      <w:pPr>
        <w:pStyle w:val="bodytextarrowbullets"/>
        <w:rPr>
          <w:sz w:val="22"/>
          <w:szCs w:val="22"/>
        </w:rPr>
      </w:pPr>
      <w:r w:rsidRPr="00D405C7">
        <w:rPr>
          <w:sz w:val="22"/>
          <w:szCs w:val="22"/>
        </w:rPr>
        <w:t>Appointed Representatives</w:t>
      </w:r>
      <w:r w:rsidR="00803EA0">
        <w:rPr>
          <w:sz w:val="22"/>
          <w:szCs w:val="22"/>
        </w:rPr>
        <w:t>.</w:t>
      </w:r>
    </w:p>
    <w:p w14:paraId="1E6417C9" w14:textId="4922D671" w:rsidR="00F03289" w:rsidRPr="00D405C7" w:rsidRDefault="00F03289" w:rsidP="00F03289">
      <w:pPr>
        <w:pStyle w:val="bodytextarrowbullets"/>
        <w:rPr>
          <w:sz w:val="22"/>
          <w:szCs w:val="22"/>
        </w:rPr>
      </w:pPr>
      <w:r w:rsidRPr="00D405C7">
        <w:rPr>
          <w:sz w:val="22"/>
          <w:szCs w:val="22"/>
        </w:rPr>
        <w:t>Brokers</w:t>
      </w:r>
      <w:r w:rsidR="00803EA0">
        <w:rPr>
          <w:sz w:val="22"/>
          <w:szCs w:val="22"/>
        </w:rPr>
        <w:t>.</w:t>
      </w:r>
      <w:r w:rsidR="00B77AAA" w:rsidRPr="00D405C7">
        <w:rPr>
          <w:sz w:val="22"/>
          <w:szCs w:val="22"/>
        </w:rPr>
        <w:t xml:space="preserve"> </w:t>
      </w:r>
    </w:p>
    <w:p w14:paraId="00F12E53" w14:textId="73D87C3C" w:rsidR="00F03289" w:rsidRPr="00D405C7" w:rsidRDefault="00F03289" w:rsidP="00F03289">
      <w:pPr>
        <w:pStyle w:val="bodytextarrowbullets"/>
        <w:rPr>
          <w:sz w:val="22"/>
          <w:szCs w:val="22"/>
        </w:rPr>
      </w:pPr>
      <w:r w:rsidRPr="00D405C7">
        <w:rPr>
          <w:sz w:val="22"/>
          <w:szCs w:val="22"/>
        </w:rPr>
        <w:t>Clients</w:t>
      </w:r>
      <w:r w:rsidR="00B77AAA" w:rsidRPr="00D405C7">
        <w:rPr>
          <w:sz w:val="22"/>
          <w:szCs w:val="22"/>
        </w:rPr>
        <w:t xml:space="preserve"> </w:t>
      </w:r>
      <w:r w:rsidR="00D405C7">
        <w:rPr>
          <w:sz w:val="22"/>
          <w:szCs w:val="22"/>
        </w:rPr>
        <w:t>(making introductions)</w:t>
      </w:r>
      <w:r w:rsidR="00803EA0">
        <w:rPr>
          <w:sz w:val="22"/>
          <w:szCs w:val="22"/>
        </w:rPr>
        <w:t>.</w:t>
      </w:r>
    </w:p>
    <w:p w14:paraId="3F8AD163" w14:textId="7E1B773C" w:rsidR="00F03289" w:rsidRPr="00D405C7" w:rsidRDefault="00F03289" w:rsidP="00F03289">
      <w:pPr>
        <w:pStyle w:val="bodytextarrowbullets"/>
        <w:rPr>
          <w:sz w:val="22"/>
          <w:szCs w:val="22"/>
        </w:rPr>
      </w:pPr>
      <w:r w:rsidRPr="00D405C7">
        <w:rPr>
          <w:sz w:val="22"/>
          <w:szCs w:val="22"/>
        </w:rPr>
        <w:t>Reinsurers</w:t>
      </w:r>
      <w:r w:rsidR="00803EA0">
        <w:rPr>
          <w:sz w:val="22"/>
          <w:szCs w:val="22"/>
        </w:rPr>
        <w:t>.</w:t>
      </w:r>
    </w:p>
    <w:p w14:paraId="4B8F9563" w14:textId="59F38643" w:rsidR="00F03289" w:rsidRPr="00D405C7" w:rsidRDefault="00F03289" w:rsidP="00F03289">
      <w:pPr>
        <w:pStyle w:val="bodytextarrowbullets"/>
        <w:rPr>
          <w:sz w:val="22"/>
          <w:szCs w:val="22"/>
        </w:rPr>
      </w:pPr>
      <w:r w:rsidRPr="00D405C7">
        <w:rPr>
          <w:sz w:val="22"/>
          <w:szCs w:val="22"/>
        </w:rPr>
        <w:t>Solicitors</w:t>
      </w:r>
      <w:r w:rsidR="00803EA0">
        <w:rPr>
          <w:sz w:val="22"/>
          <w:szCs w:val="22"/>
        </w:rPr>
        <w:t>.</w:t>
      </w:r>
    </w:p>
    <w:p w14:paraId="5E62D4C6" w14:textId="0CCF3771" w:rsidR="00F03289" w:rsidRPr="00D405C7" w:rsidRDefault="00F03289" w:rsidP="00F03289">
      <w:pPr>
        <w:pStyle w:val="bodytextarrowbullets"/>
        <w:rPr>
          <w:sz w:val="22"/>
          <w:szCs w:val="22"/>
        </w:rPr>
      </w:pPr>
      <w:r w:rsidRPr="00D405C7">
        <w:rPr>
          <w:sz w:val="22"/>
          <w:szCs w:val="22"/>
        </w:rPr>
        <w:t>Loss adjusters</w:t>
      </w:r>
      <w:r w:rsidR="00803EA0">
        <w:rPr>
          <w:sz w:val="22"/>
          <w:szCs w:val="22"/>
        </w:rPr>
        <w:t>.</w:t>
      </w:r>
    </w:p>
    <w:p w14:paraId="108999A8" w14:textId="229A02D1" w:rsidR="00F03289" w:rsidRPr="00D405C7" w:rsidRDefault="006967B8" w:rsidP="00F03289">
      <w:pPr>
        <w:pStyle w:val="BodyText1"/>
        <w:rPr>
          <w:rFonts w:cs="Tahoma"/>
          <w:sz w:val="22"/>
        </w:rPr>
      </w:pPr>
      <w:r>
        <w:rPr>
          <w:rFonts w:cs="Tahoma"/>
          <w:sz w:val="22"/>
          <w:highlight w:val="yellow"/>
        </w:rPr>
        <w:t>[</w:t>
      </w:r>
      <w:r w:rsidR="00B77AAA" w:rsidRPr="00D405C7">
        <w:rPr>
          <w:rFonts w:cs="Tahoma"/>
          <w:sz w:val="22"/>
          <w:highlight w:val="yellow"/>
        </w:rPr>
        <w:t>N</w:t>
      </w:r>
      <w:r w:rsidR="00F03289" w:rsidRPr="00D405C7">
        <w:rPr>
          <w:rFonts w:cs="Tahoma"/>
          <w:sz w:val="22"/>
          <w:highlight w:val="yellow"/>
        </w:rPr>
        <w:t xml:space="preserve">ame of </w:t>
      </w:r>
      <w:r w:rsidR="00B77AAA" w:rsidRPr="00D405C7">
        <w:rPr>
          <w:rFonts w:cs="Tahoma"/>
          <w:sz w:val="22"/>
          <w:highlight w:val="yellow"/>
        </w:rPr>
        <w:t>Senior Person</w:t>
      </w:r>
      <w:r w:rsidR="00F03289" w:rsidRPr="00D405C7">
        <w:rPr>
          <w:rFonts w:cs="Tahoma"/>
          <w:sz w:val="22"/>
        </w:rPr>
        <w:t xml:space="preserve"> has overall responsibility for </w:t>
      </w:r>
      <w:r w:rsidR="00803EA0" w:rsidRPr="00D405C7">
        <w:rPr>
          <w:rFonts w:cs="Tahoma"/>
          <w:sz w:val="22"/>
        </w:rPr>
        <w:t>anti-bribery</w:t>
      </w:r>
      <w:r w:rsidR="00F03289" w:rsidRPr="00D405C7">
        <w:rPr>
          <w:rFonts w:cs="Tahoma"/>
          <w:sz w:val="22"/>
        </w:rPr>
        <w:t xml:space="preserve"> and corruption within this firm.  Any employee that has any concerns regarding bribery and corruption within the firm or requires a better understanding of the topic should liaise with </w:t>
      </w:r>
      <w:r w:rsidR="00F03289" w:rsidRPr="00D405C7">
        <w:rPr>
          <w:rFonts w:cs="Tahoma"/>
          <w:sz w:val="22"/>
          <w:highlight w:val="yellow"/>
        </w:rPr>
        <w:t>(name of person)</w:t>
      </w:r>
      <w:r w:rsidR="00F03289" w:rsidRPr="00D405C7">
        <w:rPr>
          <w:rFonts w:cs="Tahoma"/>
          <w:sz w:val="22"/>
        </w:rPr>
        <w:t xml:space="preserve">. </w:t>
      </w:r>
    </w:p>
    <w:p w14:paraId="09D880D3" w14:textId="29E1761F" w:rsidR="00F03289" w:rsidRPr="00D405C7" w:rsidRDefault="00803EA0" w:rsidP="00F03289">
      <w:pPr>
        <w:pStyle w:val="BodyText1"/>
        <w:rPr>
          <w:rFonts w:cs="Tahoma"/>
          <w:sz w:val="22"/>
        </w:rPr>
      </w:pPr>
      <w:r w:rsidRPr="00803EA0">
        <w:rPr>
          <w:rFonts w:cs="Tahoma"/>
          <w:bCs/>
          <w:color w:val="000000"/>
          <w:sz w:val="22"/>
          <w:highlight w:val="yellow"/>
        </w:rPr>
        <w:t>[Name of firm]</w:t>
      </w:r>
      <w:r w:rsidR="00B77AAA" w:rsidRPr="00D405C7">
        <w:rPr>
          <w:rFonts w:cs="Tahoma"/>
          <w:sz w:val="22"/>
        </w:rPr>
        <w:t xml:space="preserve"> </w:t>
      </w:r>
      <w:r w:rsidR="00F03289" w:rsidRPr="00D405C7">
        <w:rPr>
          <w:rFonts w:cs="Tahoma"/>
          <w:sz w:val="22"/>
        </w:rPr>
        <w:t>recognises that third</w:t>
      </w:r>
      <w:r>
        <w:rPr>
          <w:rFonts w:cs="Tahoma"/>
          <w:sz w:val="22"/>
        </w:rPr>
        <w:t xml:space="preserve"> </w:t>
      </w:r>
      <w:r w:rsidR="00F03289" w:rsidRPr="00D405C7">
        <w:rPr>
          <w:rFonts w:cs="Tahoma"/>
          <w:sz w:val="22"/>
        </w:rPr>
        <w:t xml:space="preserve">party relationships are an area of concern </w:t>
      </w:r>
      <w:proofErr w:type="gramStart"/>
      <w:r w:rsidR="00F03289" w:rsidRPr="00D405C7">
        <w:rPr>
          <w:rFonts w:cs="Tahoma"/>
          <w:sz w:val="22"/>
        </w:rPr>
        <w:t>with regard to</w:t>
      </w:r>
      <w:proofErr w:type="gramEnd"/>
      <w:r w:rsidR="00F03289" w:rsidRPr="00D405C7">
        <w:rPr>
          <w:rFonts w:cs="Tahoma"/>
          <w:sz w:val="22"/>
        </w:rPr>
        <w:t xml:space="preserve"> bribery and corruption. Annually, all </w:t>
      </w:r>
      <w:proofErr w:type="gramStart"/>
      <w:r w:rsidR="00F03289" w:rsidRPr="00D405C7">
        <w:rPr>
          <w:rFonts w:cs="Tahoma"/>
          <w:sz w:val="22"/>
        </w:rPr>
        <w:t>third party</w:t>
      </w:r>
      <w:proofErr w:type="gramEnd"/>
      <w:r w:rsidR="00F03289" w:rsidRPr="00D405C7">
        <w:rPr>
          <w:rFonts w:cs="Tahoma"/>
          <w:sz w:val="22"/>
        </w:rPr>
        <w:t xml:space="preserve"> relationships will be reviewed and challenged.  This will include revisiting and verifying any due diligence that has been carried out.  </w:t>
      </w:r>
    </w:p>
    <w:p w14:paraId="51D2DA5F" w14:textId="77777777" w:rsidR="00F03289" w:rsidRPr="00D405C7" w:rsidRDefault="00F03289" w:rsidP="00F03289">
      <w:pPr>
        <w:pStyle w:val="Heading2"/>
        <w:rPr>
          <w:rFonts w:cs="Tahoma"/>
          <w:szCs w:val="22"/>
        </w:rPr>
      </w:pPr>
      <w:r w:rsidRPr="00D405C7">
        <w:rPr>
          <w:rFonts w:cs="Tahoma"/>
          <w:szCs w:val="22"/>
        </w:rPr>
        <w:t>Due diligence</w:t>
      </w:r>
    </w:p>
    <w:p w14:paraId="21103F70" w14:textId="77777777" w:rsidR="00F03289" w:rsidRPr="00D405C7" w:rsidRDefault="00F03289" w:rsidP="00F03289">
      <w:pPr>
        <w:pStyle w:val="BodyText1"/>
        <w:rPr>
          <w:rFonts w:cs="Tahoma"/>
          <w:sz w:val="22"/>
        </w:rPr>
      </w:pPr>
      <w:r w:rsidRPr="00D405C7">
        <w:rPr>
          <w:rFonts w:cs="Tahoma"/>
          <w:sz w:val="22"/>
        </w:rPr>
        <w:t>Before embarking on a relationship with a third party the firm must:-</w:t>
      </w:r>
    </w:p>
    <w:p w14:paraId="075E65C3" w14:textId="68E825EF" w:rsidR="00F03289" w:rsidRPr="00D405C7" w:rsidRDefault="00F03289" w:rsidP="00F03289">
      <w:pPr>
        <w:pStyle w:val="bodytextarrowbullets"/>
        <w:rPr>
          <w:sz w:val="22"/>
          <w:szCs w:val="22"/>
        </w:rPr>
      </w:pPr>
      <w:r w:rsidRPr="00D405C7">
        <w:rPr>
          <w:sz w:val="22"/>
          <w:szCs w:val="22"/>
        </w:rPr>
        <w:t xml:space="preserve">Ensure that in each case, fact finds have been completed comprehensively and retained.  If there are any doubts about the content of a fact find, the relationship should not be approved.  On revisiting fact finds, if any doubts </w:t>
      </w:r>
      <w:proofErr w:type="gramStart"/>
      <w:r w:rsidRPr="00D405C7">
        <w:rPr>
          <w:sz w:val="22"/>
          <w:szCs w:val="22"/>
        </w:rPr>
        <w:t>arise</w:t>
      </w:r>
      <w:proofErr w:type="gramEnd"/>
      <w:r w:rsidRPr="00D405C7">
        <w:rPr>
          <w:sz w:val="22"/>
          <w:szCs w:val="22"/>
        </w:rPr>
        <w:t xml:space="preserve"> they should be thoroughly investigated.  Ideally, a senior </w:t>
      </w:r>
      <w:r w:rsidR="00EC1604">
        <w:rPr>
          <w:sz w:val="22"/>
          <w:szCs w:val="22"/>
        </w:rPr>
        <w:t>employee</w:t>
      </w:r>
      <w:r w:rsidRPr="00D405C7">
        <w:rPr>
          <w:sz w:val="22"/>
          <w:szCs w:val="22"/>
        </w:rPr>
        <w:t xml:space="preserve"> with no prior knowledge of the proposed </w:t>
      </w:r>
      <w:proofErr w:type="gramStart"/>
      <w:r w:rsidRPr="00D405C7">
        <w:rPr>
          <w:sz w:val="22"/>
          <w:szCs w:val="22"/>
        </w:rPr>
        <w:t>third party</w:t>
      </w:r>
      <w:proofErr w:type="gramEnd"/>
      <w:r w:rsidRPr="00D405C7">
        <w:rPr>
          <w:sz w:val="22"/>
          <w:szCs w:val="22"/>
        </w:rPr>
        <w:t xml:space="preserve"> relationship should review and approve the fact find.  </w:t>
      </w:r>
    </w:p>
    <w:p w14:paraId="4B72948C" w14:textId="77777777" w:rsidR="00F03289" w:rsidRPr="00D405C7" w:rsidRDefault="00F03289" w:rsidP="00F03289">
      <w:pPr>
        <w:pStyle w:val="bodytextarrowbullets"/>
        <w:rPr>
          <w:sz w:val="22"/>
          <w:szCs w:val="22"/>
        </w:rPr>
      </w:pPr>
      <w:r w:rsidRPr="00D405C7">
        <w:rPr>
          <w:sz w:val="22"/>
          <w:szCs w:val="22"/>
        </w:rPr>
        <w:t>Ensure that any letters that are to be relied upon regarding a third party are dated and the author identifiable.</w:t>
      </w:r>
    </w:p>
    <w:p w14:paraId="05B9AD3C" w14:textId="77777777" w:rsidR="00F03289" w:rsidRPr="00D405C7" w:rsidRDefault="00F03289" w:rsidP="00F03289">
      <w:pPr>
        <w:pStyle w:val="bodytextarrowbullets"/>
        <w:rPr>
          <w:sz w:val="22"/>
          <w:szCs w:val="22"/>
        </w:rPr>
      </w:pPr>
      <w:r w:rsidRPr="00D405C7">
        <w:rPr>
          <w:sz w:val="22"/>
          <w:szCs w:val="22"/>
        </w:rPr>
        <w:t>Insist on correspondence being on letter headed paper.</w:t>
      </w:r>
    </w:p>
    <w:p w14:paraId="3F377944" w14:textId="77777777" w:rsidR="00F03289" w:rsidRPr="00D405C7" w:rsidRDefault="00F03289" w:rsidP="00F03289">
      <w:pPr>
        <w:pStyle w:val="bodytextarrowbullets"/>
        <w:rPr>
          <w:sz w:val="22"/>
          <w:szCs w:val="22"/>
        </w:rPr>
      </w:pPr>
      <w:r w:rsidRPr="00D405C7">
        <w:rPr>
          <w:sz w:val="22"/>
          <w:szCs w:val="22"/>
        </w:rPr>
        <w:t>Ensure that bank details are provided on letter headed paper and signed by 2 directors.  To confirm the bank details, a bank statement showing the account name, account number, and sort code; or a cheque made out for £0.01 must be obtained and retained.  Any changes to the bank details should be verified in the same way.</w:t>
      </w:r>
    </w:p>
    <w:p w14:paraId="4E33EE75" w14:textId="0400C7A1" w:rsidR="00F03289" w:rsidRPr="00D405C7" w:rsidRDefault="00F03289" w:rsidP="00F03289">
      <w:pPr>
        <w:pStyle w:val="bodytextarrowbullets"/>
        <w:rPr>
          <w:sz w:val="22"/>
          <w:szCs w:val="22"/>
        </w:rPr>
      </w:pPr>
      <w:r w:rsidRPr="00D405C7">
        <w:rPr>
          <w:sz w:val="22"/>
          <w:szCs w:val="22"/>
        </w:rPr>
        <w:t xml:space="preserve">Conduct Criminal Record </w:t>
      </w:r>
      <w:r w:rsidR="002E1D47" w:rsidRPr="00D405C7">
        <w:rPr>
          <w:sz w:val="22"/>
          <w:szCs w:val="22"/>
        </w:rPr>
        <w:t>(DBS)</w:t>
      </w:r>
      <w:r w:rsidRPr="00D405C7">
        <w:rPr>
          <w:sz w:val="22"/>
          <w:szCs w:val="22"/>
        </w:rPr>
        <w:t xml:space="preserve"> and </w:t>
      </w:r>
      <w:r w:rsidR="00803EA0">
        <w:rPr>
          <w:sz w:val="22"/>
          <w:szCs w:val="22"/>
        </w:rPr>
        <w:t>c</w:t>
      </w:r>
      <w:r w:rsidR="00803EA0" w:rsidRPr="00D405C7">
        <w:rPr>
          <w:sz w:val="22"/>
          <w:szCs w:val="22"/>
        </w:rPr>
        <w:t xml:space="preserve">redit </w:t>
      </w:r>
      <w:r w:rsidRPr="00D405C7">
        <w:rPr>
          <w:sz w:val="22"/>
          <w:szCs w:val="22"/>
        </w:rPr>
        <w:t>checks on third parties (with their approval).</w:t>
      </w:r>
    </w:p>
    <w:p w14:paraId="394FE6A8" w14:textId="52945049" w:rsidR="00F03289" w:rsidRPr="00D405C7" w:rsidRDefault="00F03289" w:rsidP="00F03289">
      <w:pPr>
        <w:pStyle w:val="bodytextarrowbullets"/>
        <w:rPr>
          <w:sz w:val="22"/>
          <w:szCs w:val="22"/>
        </w:rPr>
      </w:pPr>
      <w:r w:rsidRPr="00D405C7">
        <w:rPr>
          <w:sz w:val="22"/>
          <w:szCs w:val="22"/>
        </w:rPr>
        <w:t>Document the convincing reason for doing business with the third party and for making payments to them.  [In the fight against bribery and corruption, winning business, maximi</w:t>
      </w:r>
      <w:r w:rsidR="00803EA0">
        <w:rPr>
          <w:sz w:val="22"/>
          <w:szCs w:val="22"/>
        </w:rPr>
        <w:t>s</w:t>
      </w:r>
      <w:r w:rsidRPr="00D405C7">
        <w:rPr>
          <w:sz w:val="22"/>
          <w:szCs w:val="22"/>
        </w:rPr>
        <w:t xml:space="preserve">ing retained brokerage, and incentivising a third party, are not valid reasons for making a payment to a third party].  </w:t>
      </w:r>
    </w:p>
    <w:p w14:paraId="495080F0" w14:textId="5FD17447" w:rsidR="00F03289" w:rsidRPr="00D405C7" w:rsidRDefault="00F03289" w:rsidP="00F03289">
      <w:pPr>
        <w:pStyle w:val="bodytextarrowbullets"/>
        <w:rPr>
          <w:sz w:val="22"/>
          <w:szCs w:val="22"/>
        </w:rPr>
      </w:pPr>
      <w:r w:rsidRPr="00D405C7">
        <w:rPr>
          <w:sz w:val="22"/>
          <w:szCs w:val="22"/>
        </w:rPr>
        <w:t xml:space="preserve">Check whether the </w:t>
      </w:r>
      <w:r w:rsidR="00803EA0">
        <w:rPr>
          <w:sz w:val="22"/>
          <w:szCs w:val="22"/>
        </w:rPr>
        <w:t>t</w:t>
      </w:r>
      <w:r w:rsidR="00803EA0" w:rsidRPr="00D405C7">
        <w:rPr>
          <w:sz w:val="22"/>
          <w:szCs w:val="22"/>
        </w:rPr>
        <w:t xml:space="preserve">hird </w:t>
      </w:r>
      <w:r w:rsidR="00803EA0">
        <w:rPr>
          <w:sz w:val="22"/>
          <w:szCs w:val="22"/>
        </w:rPr>
        <w:t>p</w:t>
      </w:r>
      <w:r w:rsidR="00803EA0" w:rsidRPr="00D405C7">
        <w:rPr>
          <w:sz w:val="22"/>
          <w:szCs w:val="22"/>
        </w:rPr>
        <w:t xml:space="preserve">arty </w:t>
      </w:r>
      <w:r w:rsidRPr="00D405C7">
        <w:rPr>
          <w:sz w:val="22"/>
          <w:szCs w:val="22"/>
        </w:rPr>
        <w:t xml:space="preserve">is connected in any way to the </w:t>
      </w:r>
      <w:r w:rsidR="00803EA0">
        <w:rPr>
          <w:sz w:val="22"/>
          <w:szCs w:val="22"/>
        </w:rPr>
        <w:t>in</w:t>
      </w:r>
      <w:r w:rsidR="00803EA0" w:rsidRPr="00D405C7">
        <w:rPr>
          <w:sz w:val="22"/>
          <w:szCs w:val="22"/>
        </w:rPr>
        <w:t>sured</w:t>
      </w:r>
      <w:r w:rsidRPr="00D405C7">
        <w:rPr>
          <w:sz w:val="22"/>
          <w:szCs w:val="22"/>
        </w:rPr>
        <w:t xml:space="preserve">, </w:t>
      </w:r>
      <w:proofErr w:type="gramStart"/>
      <w:r w:rsidRPr="00D405C7">
        <w:rPr>
          <w:sz w:val="22"/>
          <w:szCs w:val="22"/>
        </w:rPr>
        <w:t>client</w:t>
      </w:r>
      <w:proofErr w:type="gramEnd"/>
      <w:r w:rsidRPr="00D405C7">
        <w:rPr>
          <w:sz w:val="22"/>
          <w:szCs w:val="22"/>
        </w:rPr>
        <w:t xml:space="preserve"> or public officials. A simple internet search may be enough to highlight the need for further investigations.</w:t>
      </w:r>
    </w:p>
    <w:p w14:paraId="306F6316" w14:textId="2D043B36" w:rsidR="00F03289" w:rsidRPr="00D405C7" w:rsidRDefault="00F03289" w:rsidP="00F03289">
      <w:pPr>
        <w:pStyle w:val="BodyText1"/>
        <w:rPr>
          <w:rFonts w:cs="Tahoma"/>
          <w:sz w:val="22"/>
        </w:rPr>
      </w:pPr>
      <w:r w:rsidRPr="00D405C7">
        <w:rPr>
          <w:rFonts w:cs="Tahoma"/>
          <w:sz w:val="22"/>
        </w:rPr>
        <w:lastRenderedPageBreak/>
        <w:t xml:space="preserve">Please note that if our firm acquires a book of business, and </w:t>
      </w:r>
      <w:proofErr w:type="gramStart"/>
      <w:r w:rsidR="002E1D47" w:rsidRPr="00D405C7">
        <w:rPr>
          <w:rFonts w:cs="Tahoma"/>
          <w:sz w:val="22"/>
        </w:rPr>
        <w:t>third</w:t>
      </w:r>
      <w:r w:rsidR="00803EA0">
        <w:rPr>
          <w:rFonts w:cs="Tahoma"/>
          <w:sz w:val="22"/>
        </w:rPr>
        <w:t xml:space="preserve"> </w:t>
      </w:r>
      <w:r w:rsidR="002E1D47" w:rsidRPr="00D405C7">
        <w:rPr>
          <w:rFonts w:cs="Tahoma"/>
          <w:sz w:val="22"/>
        </w:rPr>
        <w:t>party</w:t>
      </w:r>
      <w:proofErr w:type="gramEnd"/>
      <w:r w:rsidRPr="00D405C7">
        <w:rPr>
          <w:rFonts w:cs="Tahoma"/>
          <w:sz w:val="22"/>
        </w:rPr>
        <w:t xml:space="preserve"> relationships are transferred in, we must conduct our own due diligence or ensure that the previous firm’s due diligence is equal to our own.</w:t>
      </w:r>
    </w:p>
    <w:p w14:paraId="3C390C0C" w14:textId="50DBF83F" w:rsidR="00F03289" w:rsidRPr="00D405C7" w:rsidRDefault="00F03289" w:rsidP="00F03289">
      <w:pPr>
        <w:pStyle w:val="BodyText1"/>
        <w:rPr>
          <w:rFonts w:cs="Tahoma"/>
          <w:sz w:val="22"/>
        </w:rPr>
      </w:pPr>
      <w:r w:rsidRPr="00D405C7">
        <w:rPr>
          <w:rFonts w:cs="Tahoma"/>
          <w:sz w:val="22"/>
        </w:rPr>
        <w:t xml:space="preserve">As a firm we must consider the different countries we deal with as new relationships develop, and annually thereafter.  The firm is to use the corruption perception index produced by Transparency </w:t>
      </w:r>
      <w:r w:rsidR="003F5296" w:rsidRPr="00D405C7">
        <w:rPr>
          <w:rFonts w:cs="Tahoma"/>
          <w:sz w:val="22"/>
        </w:rPr>
        <w:t>International and</w:t>
      </w:r>
      <w:r w:rsidRPr="00D405C7">
        <w:rPr>
          <w:rFonts w:cs="Tahoma"/>
          <w:sz w:val="22"/>
        </w:rPr>
        <w:t xml:space="preserve"> document the findings with the firm’s due diligence on the third party or on the client file. </w:t>
      </w:r>
      <w:r w:rsidR="003F5296" w:rsidRPr="003F5296">
        <w:t>https://www.transparency.org/en/cpi/2022</w:t>
      </w:r>
    </w:p>
    <w:p w14:paraId="73900604" w14:textId="77777777" w:rsidR="00F03289" w:rsidRPr="00D405C7" w:rsidRDefault="00F03289" w:rsidP="00F03289">
      <w:pPr>
        <w:pStyle w:val="BodyText1"/>
        <w:rPr>
          <w:rFonts w:cs="Tahoma"/>
          <w:sz w:val="22"/>
        </w:rPr>
      </w:pPr>
      <w:r w:rsidRPr="00D405C7">
        <w:rPr>
          <w:rFonts w:cs="Tahoma"/>
          <w:sz w:val="22"/>
        </w:rPr>
        <w:t xml:space="preserve">The firm maintains a central record of approved third parties together with the underlying due diligence and evidence of periodic reviews.  Any amendments to this record must go through </w:t>
      </w:r>
      <w:r w:rsidRPr="00D405C7">
        <w:rPr>
          <w:rFonts w:cs="Tahoma"/>
          <w:sz w:val="22"/>
          <w:highlight w:val="yellow"/>
        </w:rPr>
        <w:t>(name of person responsible).</w:t>
      </w:r>
    </w:p>
    <w:p w14:paraId="7743C99A" w14:textId="77777777" w:rsidR="00F03289" w:rsidRPr="00D405C7" w:rsidRDefault="00F03289" w:rsidP="00F03289">
      <w:pPr>
        <w:pStyle w:val="BodyText1"/>
        <w:rPr>
          <w:rFonts w:cs="Tahoma"/>
          <w:sz w:val="22"/>
        </w:rPr>
      </w:pPr>
      <w:r w:rsidRPr="00D405C7">
        <w:rPr>
          <w:rFonts w:cs="Tahoma"/>
          <w:sz w:val="22"/>
        </w:rPr>
        <w:t>All third parties are coded differently on the computer system so they can be identified quickly.</w:t>
      </w:r>
    </w:p>
    <w:p w14:paraId="7E9A0669" w14:textId="166043FC" w:rsidR="00F03289" w:rsidRPr="00D405C7" w:rsidRDefault="00F03289" w:rsidP="00F03289">
      <w:pPr>
        <w:pStyle w:val="BodyText1"/>
        <w:rPr>
          <w:rFonts w:cs="Tahoma"/>
          <w:sz w:val="22"/>
        </w:rPr>
      </w:pPr>
      <w:r w:rsidRPr="00D405C7">
        <w:rPr>
          <w:rFonts w:cs="Tahoma"/>
          <w:sz w:val="22"/>
        </w:rPr>
        <w:t xml:space="preserve">Once a </w:t>
      </w:r>
      <w:proofErr w:type="gramStart"/>
      <w:r w:rsidR="002E1D47" w:rsidRPr="00D405C7">
        <w:rPr>
          <w:rFonts w:cs="Tahoma"/>
          <w:sz w:val="22"/>
        </w:rPr>
        <w:t>third</w:t>
      </w:r>
      <w:r w:rsidR="003F5296">
        <w:rPr>
          <w:rFonts w:cs="Tahoma"/>
          <w:sz w:val="22"/>
        </w:rPr>
        <w:t xml:space="preserve"> </w:t>
      </w:r>
      <w:r w:rsidR="002E1D47" w:rsidRPr="00D405C7">
        <w:rPr>
          <w:rFonts w:cs="Tahoma"/>
          <w:sz w:val="22"/>
        </w:rPr>
        <w:t>party</w:t>
      </w:r>
      <w:proofErr w:type="gramEnd"/>
      <w:r w:rsidRPr="00D405C7">
        <w:rPr>
          <w:rFonts w:cs="Tahoma"/>
          <w:sz w:val="22"/>
        </w:rPr>
        <w:t xml:space="preserve"> relationship is terminated </w:t>
      </w:r>
      <w:r w:rsidR="003F5296">
        <w:rPr>
          <w:rFonts w:cs="Tahoma"/>
          <w:sz w:val="22"/>
        </w:rPr>
        <w:t xml:space="preserve">the </w:t>
      </w:r>
      <w:r w:rsidRPr="00D405C7">
        <w:rPr>
          <w:rFonts w:cs="Tahoma"/>
          <w:sz w:val="22"/>
        </w:rPr>
        <w:t>accounts</w:t>
      </w:r>
      <w:r w:rsidR="003F5296">
        <w:rPr>
          <w:rFonts w:cs="Tahoma"/>
          <w:sz w:val="22"/>
        </w:rPr>
        <w:t xml:space="preserve"> team</w:t>
      </w:r>
      <w:r w:rsidRPr="00D405C7">
        <w:rPr>
          <w:rFonts w:cs="Tahoma"/>
          <w:sz w:val="22"/>
        </w:rPr>
        <w:t xml:space="preserve"> must be advised and the computer system updated accordingly to show that the agreement has been terminated.</w:t>
      </w:r>
    </w:p>
    <w:p w14:paraId="75F4F8E1" w14:textId="77777777" w:rsidR="00F03289" w:rsidRPr="00D405C7" w:rsidRDefault="00F03289" w:rsidP="00F03289">
      <w:pPr>
        <w:pStyle w:val="Heading2"/>
        <w:rPr>
          <w:rFonts w:cs="Tahoma"/>
          <w:szCs w:val="22"/>
        </w:rPr>
      </w:pPr>
      <w:r w:rsidRPr="00D405C7">
        <w:rPr>
          <w:rFonts w:cs="Tahoma"/>
          <w:szCs w:val="22"/>
        </w:rPr>
        <w:t>Payments to third parties</w:t>
      </w:r>
    </w:p>
    <w:p w14:paraId="51FCD0FD" w14:textId="77777777" w:rsidR="00F03289" w:rsidRPr="00D405C7" w:rsidRDefault="00F03289" w:rsidP="00F03289">
      <w:pPr>
        <w:pStyle w:val="BodyText1"/>
        <w:rPr>
          <w:rFonts w:cs="Tahoma"/>
          <w:sz w:val="22"/>
        </w:rPr>
      </w:pPr>
      <w:r w:rsidRPr="00D405C7">
        <w:rPr>
          <w:rFonts w:cs="Tahoma"/>
          <w:sz w:val="22"/>
        </w:rPr>
        <w:t>If a third party has been involved in our firm acquiring business, we will be open with the client concerned about any payments made to a third party in the course of acquiring or placing their business.</w:t>
      </w:r>
      <w:r w:rsidR="002E1D47" w:rsidRPr="00D405C7">
        <w:rPr>
          <w:rFonts w:cs="Tahoma"/>
          <w:sz w:val="22"/>
        </w:rPr>
        <w:t xml:space="preserve"> </w:t>
      </w:r>
    </w:p>
    <w:p w14:paraId="6AEA607C" w14:textId="77777777" w:rsidR="00F03289" w:rsidRPr="00D405C7" w:rsidRDefault="00F03289" w:rsidP="00F03289">
      <w:pPr>
        <w:pStyle w:val="BodyText1"/>
        <w:rPr>
          <w:rFonts w:cs="Tahoma"/>
          <w:sz w:val="22"/>
        </w:rPr>
      </w:pPr>
      <w:r w:rsidRPr="00D405C7">
        <w:rPr>
          <w:rFonts w:cs="Tahoma"/>
          <w:sz w:val="22"/>
        </w:rPr>
        <w:t xml:space="preserve">To meet </w:t>
      </w:r>
      <w:r w:rsidR="00B77AAA" w:rsidRPr="00D405C7">
        <w:rPr>
          <w:rFonts w:cs="Tahoma"/>
          <w:sz w:val="22"/>
        </w:rPr>
        <w:t>FCA</w:t>
      </w:r>
      <w:r w:rsidRPr="00D405C7">
        <w:rPr>
          <w:rFonts w:cs="Tahoma"/>
          <w:sz w:val="22"/>
        </w:rPr>
        <w:t xml:space="preserve"> expectations, payments must be clear and justified in relation to the work done.  This will be decided by </w:t>
      </w:r>
      <w:r w:rsidRPr="00D405C7">
        <w:rPr>
          <w:rFonts w:cs="Tahoma"/>
          <w:sz w:val="22"/>
          <w:highlight w:val="yellow"/>
        </w:rPr>
        <w:t>(name of person responsible)</w:t>
      </w:r>
      <w:r w:rsidRPr="00D405C7">
        <w:rPr>
          <w:rFonts w:cs="Tahoma"/>
          <w:sz w:val="22"/>
        </w:rPr>
        <w:t xml:space="preserve"> in conjunction with the third party, the account handler and the account director.  The reasoning behind any payments must be documented.</w:t>
      </w:r>
    </w:p>
    <w:p w14:paraId="3C846870" w14:textId="77777777" w:rsidR="00F03289" w:rsidRPr="00D405C7" w:rsidRDefault="00F03289" w:rsidP="00F03289">
      <w:pPr>
        <w:pStyle w:val="BodyText1"/>
        <w:rPr>
          <w:rFonts w:cs="Tahoma"/>
          <w:sz w:val="22"/>
        </w:rPr>
      </w:pPr>
      <w:r w:rsidRPr="00D405C7">
        <w:rPr>
          <w:rFonts w:cs="Tahoma"/>
          <w:sz w:val="22"/>
        </w:rPr>
        <w:t>Our firm will not pay commission to a third party prior to the premiums being paid by the client.  This is to prevent that commission being seen as a bribe in itself or passed on to others as a bribe to secure the business.</w:t>
      </w:r>
    </w:p>
    <w:p w14:paraId="3EA76009" w14:textId="77777777" w:rsidR="00F03289" w:rsidRPr="00D405C7" w:rsidRDefault="00F03289" w:rsidP="00F03289">
      <w:pPr>
        <w:pStyle w:val="Heading2"/>
        <w:rPr>
          <w:rFonts w:cs="Tahoma"/>
          <w:szCs w:val="22"/>
        </w:rPr>
      </w:pPr>
      <w:r w:rsidRPr="00D405C7">
        <w:rPr>
          <w:rFonts w:cs="Tahoma"/>
          <w:szCs w:val="22"/>
        </w:rPr>
        <w:t>Management Information (MI)</w:t>
      </w:r>
    </w:p>
    <w:p w14:paraId="361C20D2" w14:textId="77777777" w:rsidR="00F03289" w:rsidRPr="00D405C7" w:rsidRDefault="00F03289" w:rsidP="00F03289">
      <w:pPr>
        <w:pStyle w:val="BodyText1"/>
        <w:rPr>
          <w:rFonts w:cs="Tahoma"/>
          <w:sz w:val="22"/>
        </w:rPr>
      </w:pPr>
      <w:r w:rsidRPr="00D405C7">
        <w:rPr>
          <w:rFonts w:cs="Tahoma"/>
          <w:sz w:val="22"/>
        </w:rPr>
        <w:t xml:space="preserve">As regularly as is necessary </w:t>
      </w:r>
      <w:r w:rsidR="00F304B1" w:rsidRPr="00D405C7">
        <w:rPr>
          <w:rFonts w:cs="Tahoma"/>
          <w:sz w:val="22"/>
          <w:highlight w:val="yellow"/>
        </w:rPr>
        <w:t>(name of person responsible)</w:t>
      </w:r>
      <w:r w:rsidRPr="00D405C7">
        <w:rPr>
          <w:rFonts w:cs="Tahoma"/>
          <w:sz w:val="22"/>
        </w:rPr>
        <w:t xml:space="preserve"> will identify payments to third parties.  Such payments must be scrutinised for any unusual transactions for example:-</w:t>
      </w:r>
    </w:p>
    <w:p w14:paraId="7023F32D" w14:textId="77777777" w:rsidR="00F03289" w:rsidRPr="00D405C7" w:rsidRDefault="00F03289" w:rsidP="00F03289">
      <w:pPr>
        <w:pStyle w:val="Bodytextnormalbullet"/>
        <w:rPr>
          <w:rFonts w:cs="Tahoma"/>
          <w:sz w:val="22"/>
        </w:rPr>
      </w:pPr>
      <w:r w:rsidRPr="00D405C7">
        <w:rPr>
          <w:rFonts w:cs="Tahoma"/>
          <w:sz w:val="22"/>
        </w:rPr>
        <w:t>Payments made in a different currency to normal.</w:t>
      </w:r>
    </w:p>
    <w:p w14:paraId="2E34EBDA" w14:textId="77777777" w:rsidR="00F03289" w:rsidRPr="00D405C7" w:rsidRDefault="00F03289" w:rsidP="00F03289">
      <w:pPr>
        <w:pStyle w:val="Bodytextnormalbullet"/>
        <w:rPr>
          <w:rFonts w:cs="Tahoma"/>
          <w:sz w:val="22"/>
        </w:rPr>
      </w:pPr>
      <w:r w:rsidRPr="00D405C7">
        <w:rPr>
          <w:rFonts w:cs="Tahoma"/>
          <w:sz w:val="22"/>
        </w:rPr>
        <w:t>Payments made to payees whose names are different from the account names.</w:t>
      </w:r>
    </w:p>
    <w:p w14:paraId="3F48D041" w14:textId="77777777" w:rsidR="00F03289" w:rsidRPr="00D405C7" w:rsidRDefault="00F03289" w:rsidP="00F03289">
      <w:pPr>
        <w:pStyle w:val="Bodytextnormalbullet"/>
        <w:rPr>
          <w:rFonts w:cs="Tahoma"/>
          <w:sz w:val="22"/>
        </w:rPr>
      </w:pPr>
      <w:r w:rsidRPr="00D405C7">
        <w:rPr>
          <w:rFonts w:cs="Tahoma"/>
          <w:sz w:val="22"/>
        </w:rPr>
        <w:t xml:space="preserve">Payments made to people in </w:t>
      </w:r>
      <w:proofErr w:type="gramStart"/>
      <w:r w:rsidRPr="00D405C7">
        <w:rPr>
          <w:rFonts w:cs="Tahoma"/>
          <w:sz w:val="22"/>
        </w:rPr>
        <w:t>high risk</w:t>
      </w:r>
      <w:proofErr w:type="gramEnd"/>
      <w:r w:rsidRPr="00D405C7">
        <w:rPr>
          <w:rFonts w:cs="Tahoma"/>
          <w:sz w:val="22"/>
        </w:rPr>
        <w:t xml:space="preserve"> jurisdictions.</w:t>
      </w:r>
    </w:p>
    <w:p w14:paraId="676A2115" w14:textId="77777777" w:rsidR="00F03289" w:rsidRPr="00D405C7" w:rsidRDefault="00F03289" w:rsidP="00F03289">
      <w:pPr>
        <w:pStyle w:val="Bodytextnormalbullet"/>
        <w:rPr>
          <w:rFonts w:cs="Tahoma"/>
          <w:sz w:val="22"/>
        </w:rPr>
      </w:pPr>
      <w:r w:rsidRPr="00D405C7">
        <w:rPr>
          <w:rFonts w:cs="Tahoma"/>
          <w:sz w:val="22"/>
        </w:rPr>
        <w:t>Large round sums when other payments were not of this type.</w:t>
      </w:r>
    </w:p>
    <w:p w14:paraId="6D8409CD" w14:textId="77777777" w:rsidR="00F03289" w:rsidRPr="00D405C7" w:rsidRDefault="00F03289" w:rsidP="00F03289">
      <w:pPr>
        <w:pStyle w:val="BodyText1"/>
        <w:rPr>
          <w:rFonts w:cs="Tahoma"/>
          <w:sz w:val="22"/>
        </w:rPr>
      </w:pPr>
      <w:r w:rsidRPr="00D405C7">
        <w:rPr>
          <w:rFonts w:cs="Tahoma"/>
          <w:sz w:val="22"/>
        </w:rPr>
        <w:t xml:space="preserve">If at any time inappropriate payments are identified, </w:t>
      </w:r>
      <w:r w:rsidR="00F304B1" w:rsidRPr="00D405C7">
        <w:rPr>
          <w:rFonts w:cs="Tahoma"/>
          <w:sz w:val="22"/>
          <w:highlight w:val="yellow"/>
        </w:rPr>
        <w:t>(name of person responsible)</w:t>
      </w:r>
      <w:r w:rsidRPr="00D405C7">
        <w:rPr>
          <w:rFonts w:cs="Tahoma"/>
          <w:sz w:val="22"/>
        </w:rPr>
        <w:t xml:space="preserve"> will report them promptly to </w:t>
      </w:r>
      <w:r w:rsidR="00F304B1" w:rsidRPr="00D405C7">
        <w:rPr>
          <w:rFonts w:cs="Tahoma"/>
          <w:sz w:val="22"/>
        </w:rPr>
        <w:t xml:space="preserve">the National Crime Agency (NCA) </w:t>
      </w:r>
      <w:r w:rsidRPr="00D405C7">
        <w:rPr>
          <w:rFonts w:cs="Tahoma"/>
          <w:sz w:val="22"/>
        </w:rPr>
        <w:t xml:space="preserve">and if appropriate to the </w:t>
      </w:r>
      <w:r w:rsidR="00B77AAA" w:rsidRPr="00D405C7">
        <w:rPr>
          <w:rFonts w:cs="Tahoma"/>
          <w:sz w:val="22"/>
        </w:rPr>
        <w:t>FCA</w:t>
      </w:r>
      <w:r w:rsidRPr="00D405C7">
        <w:rPr>
          <w:rFonts w:cs="Tahoma"/>
          <w:sz w:val="22"/>
        </w:rPr>
        <w:t xml:space="preserve"> in line with Principle 11, </w:t>
      </w:r>
      <w:r w:rsidRPr="00D405C7">
        <w:rPr>
          <w:rFonts w:eastAsia="Times New Roman" w:cs="Tahoma"/>
          <w:sz w:val="22"/>
        </w:rPr>
        <w:t>Relations with regulators: A</w:t>
      </w:r>
      <w:hyperlink r:id="rId7" w:tgtFrame="w_glossary" w:history="1">
        <w:r w:rsidRPr="00D405C7">
          <w:rPr>
            <w:rFonts w:eastAsia="Times New Roman" w:cs="Tahoma"/>
            <w:i/>
            <w:iCs/>
            <w:sz w:val="22"/>
          </w:rPr>
          <w:t xml:space="preserve"> </w:t>
        </w:r>
        <w:r w:rsidRPr="00D405C7">
          <w:rPr>
            <w:rFonts w:eastAsia="Times New Roman" w:cs="Tahoma"/>
            <w:iCs/>
            <w:sz w:val="22"/>
          </w:rPr>
          <w:t xml:space="preserve">firm </w:t>
        </w:r>
      </w:hyperlink>
      <w:r w:rsidRPr="00D405C7">
        <w:rPr>
          <w:rFonts w:eastAsia="Times New Roman" w:cs="Tahoma"/>
          <w:sz w:val="22"/>
        </w:rPr>
        <w:t xml:space="preserve">must deal with its regulators in an open and cooperative way, and must disclose to the </w:t>
      </w:r>
      <w:r w:rsidR="00B77AAA" w:rsidRPr="00D405C7">
        <w:rPr>
          <w:rFonts w:eastAsia="Times New Roman" w:cs="Tahoma"/>
          <w:sz w:val="22"/>
        </w:rPr>
        <w:t>FCA</w:t>
      </w:r>
      <w:r w:rsidRPr="00D405C7">
        <w:rPr>
          <w:rFonts w:eastAsia="Times New Roman" w:cs="Tahoma"/>
          <w:sz w:val="22"/>
        </w:rPr>
        <w:t xml:space="preserve"> appropriately anything relating to the firm of which the </w:t>
      </w:r>
      <w:hyperlink r:id="rId8" w:tgtFrame="w_glossary" w:history="1">
        <w:r w:rsidR="00B77AAA" w:rsidRPr="00D405C7">
          <w:rPr>
            <w:rFonts w:eastAsia="Times New Roman" w:cs="Tahoma"/>
            <w:iCs/>
            <w:sz w:val="22"/>
          </w:rPr>
          <w:t>FCA</w:t>
        </w:r>
      </w:hyperlink>
      <w:r w:rsidRPr="00D405C7">
        <w:rPr>
          <w:rFonts w:eastAsia="Times New Roman" w:cs="Tahoma"/>
          <w:sz w:val="22"/>
        </w:rPr>
        <w:t xml:space="preserve"> would reasonably expect notice.</w:t>
      </w:r>
    </w:p>
    <w:p w14:paraId="7D79023E" w14:textId="77777777" w:rsidR="00F03289" w:rsidRPr="00D405C7" w:rsidRDefault="00F304B1" w:rsidP="00F03289">
      <w:pPr>
        <w:pStyle w:val="BodyText1"/>
        <w:rPr>
          <w:rFonts w:cs="Tahoma"/>
          <w:sz w:val="22"/>
        </w:rPr>
      </w:pPr>
      <w:r w:rsidRPr="00D405C7">
        <w:rPr>
          <w:rFonts w:cs="Tahoma"/>
          <w:sz w:val="22"/>
          <w:highlight w:val="yellow"/>
        </w:rPr>
        <w:t>(name of person responsible)</w:t>
      </w:r>
      <w:r w:rsidR="00F03289" w:rsidRPr="00D405C7">
        <w:rPr>
          <w:rFonts w:cs="Tahoma"/>
          <w:sz w:val="22"/>
        </w:rPr>
        <w:t xml:space="preserve"> will produce Management Information </w:t>
      </w:r>
      <w:proofErr w:type="gramStart"/>
      <w:r w:rsidR="00F03289" w:rsidRPr="00D405C7">
        <w:rPr>
          <w:rFonts w:cs="Tahoma"/>
          <w:sz w:val="22"/>
        </w:rPr>
        <w:t>on:-</w:t>
      </w:r>
      <w:proofErr w:type="gramEnd"/>
    </w:p>
    <w:p w14:paraId="2657FFA2" w14:textId="061CEB53" w:rsidR="00F03289" w:rsidRPr="00D405C7" w:rsidRDefault="00F03289" w:rsidP="00F03289">
      <w:pPr>
        <w:pStyle w:val="Bodytextnormalbullet"/>
        <w:rPr>
          <w:rFonts w:cs="Tahoma"/>
          <w:sz w:val="22"/>
        </w:rPr>
      </w:pPr>
      <w:r w:rsidRPr="00D405C7">
        <w:rPr>
          <w:rFonts w:cs="Tahoma"/>
          <w:sz w:val="22"/>
        </w:rPr>
        <w:t xml:space="preserve">New </w:t>
      </w:r>
      <w:proofErr w:type="gramStart"/>
      <w:r w:rsidR="00621B8F" w:rsidRPr="00D405C7">
        <w:rPr>
          <w:rFonts w:cs="Tahoma"/>
          <w:sz w:val="22"/>
        </w:rPr>
        <w:t>third</w:t>
      </w:r>
      <w:r w:rsidR="003F5296">
        <w:rPr>
          <w:rFonts w:cs="Tahoma"/>
          <w:sz w:val="22"/>
        </w:rPr>
        <w:t xml:space="preserve"> </w:t>
      </w:r>
      <w:r w:rsidR="00621B8F" w:rsidRPr="00D405C7">
        <w:rPr>
          <w:rFonts w:cs="Tahoma"/>
          <w:sz w:val="22"/>
        </w:rPr>
        <w:t>party</w:t>
      </w:r>
      <w:proofErr w:type="gramEnd"/>
      <w:r w:rsidRPr="00D405C7">
        <w:rPr>
          <w:rFonts w:cs="Tahoma"/>
          <w:sz w:val="22"/>
        </w:rPr>
        <w:t xml:space="preserve"> accounts including risk classification.  </w:t>
      </w:r>
    </w:p>
    <w:p w14:paraId="18F6AE1D" w14:textId="77777777" w:rsidR="00F03289" w:rsidRPr="00D405C7" w:rsidRDefault="00F03289" w:rsidP="00F03289">
      <w:pPr>
        <w:pStyle w:val="Bodytextnormalbullet"/>
        <w:rPr>
          <w:rFonts w:cs="Tahoma"/>
          <w:sz w:val="22"/>
        </w:rPr>
      </w:pPr>
      <w:r w:rsidRPr="00D405C7">
        <w:rPr>
          <w:rFonts w:cs="Tahoma"/>
          <w:sz w:val="22"/>
        </w:rPr>
        <w:t xml:space="preserve">Payments made in the preceding period. </w:t>
      </w:r>
    </w:p>
    <w:p w14:paraId="4A825438" w14:textId="77777777" w:rsidR="00A6788F" w:rsidRPr="00D405C7" w:rsidRDefault="00A6788F" w:rsidP="00F03289">
      <w:pPr>
        <w:pStyle w:val="Bodytextnormalbullet"/>
        <w:rPr>
          <w:rFonts w:cs="Tahoma"/>
          <w:sz w:val="22"/>
        </w:rPr>
      </w:pPr>
      <w:r w:rsidRPr="00D405C7">
        <w:rPr>
          <w:rFonts w:cs="Tahoma"/>
          <w:sz w:val="22"/>
        </w:rPr>
        <w:t xml:space="preserve">Monitoring </w:t>
      </w:r>
      <w:r w:rsidR="002A5452" w:rsidRPr="00D405C7">
        <w:rPr>
          <w:rFonts w:cs="Tahoma"/>
          <w:sz w:val="22"/>
        </w:rPr>
        <w:t xml:space="preserve">in the preceding period of </w:t>
      </w:r>
      <w:r w:rsidRPr="00D405C7">
        <w:rPr>
          <w:rFonts w:cs="Tahoma"/>
          <w:sz w:val="22"/>
        </w:rPr>
        <w:t>third parties</w:t>
      </w:r>
      <w:r w:rsidR="002A5452" w:rsidRPr="00D405C7">
        <w:rPr>
          <w:rFonts w:cs="Tahoma"/>
          <w:sz w:val="22"/>
        </w:rPr>
        <w:t>.</w:t>
      </w:r>
    </w:p>
    <w:p w14:paraId="04E5BF57" w14:textId="77777777" w:rsidR="00F03289" w:rsidRPr="00D405C7" w:rsidRDefault="00F03289" w:rsidP="00F03289">
      <w:pPr>
        <w:pStyle w:val="Bodytextnormalbullet"/>
        <w:rPr>
          <w:rFonts w:cs="Tahoma"/>
          <w:sz w:val="22"/>
        </w:rPr>
      </w:pPr>
      <w:r w:rsidRPr="00D405C7">
        <w:rPr>
          <w:rFonts w:cs="Tahoma"/>
          <w:sz w:val="22"/>
        </w:rPr>
        <w:lastRenderedPageBreak/>
        <w:t>Changes to third party bank details which must be verified.</w:t>
      </w:r>
    </w:p>
    <w:p w14:paraId="7CEA1BA8" w14:textId="77777777" w:rsidR="00F03289" w:rsidRPr="00D405C7" w:rsidRDefault="00F03289" w:rsidP="00F03289">
      <w:pPr>
        <w:pStyle w:val="Bodytextnormalbullet"/>
        <w:rPr>
          <w:rFonts w:cs="Tahoma"/>
          <w:sz w:val="22"/>
        </w:rPr>
      </w:pPr>
      <w:r w:rsidRPr="00D405C7">
        <w:rPr>
          <w:rFonts w:cs="Tahoma"/>
          <w:sz w:val="22"/>
        </w:rPr>
        <w:t>General information / updates on bribery and corruption.</w:t>
      </w:r>
    </w:p>
    <w:p w14:paraId="3C33FEEE" w14:textId="77777777" w:rsidR="00F03289" w:rsidRPr="00D405C7" w:rsidRDefault="00F03289" w:rsidP="00F03289">
      <w:pPr>
        <w:pStyle w:val="Bodytextnormalbullet"/>
        <w:rPr>
          <w:rFonts w:cs="Tahoma"/>
          <w:sz w:val="22"/>
        </w:rPr>
      </w:pPr>
      <w:r w:rsidRPr="00D405C7">
        <w:rPr>
          <w:rFonts w:cs="Tahoma"/>
          <w:sz w:val="22"/>
        </w:rPr>
        <w:t>Training logs.</w:t>
      </w:r>
    </w:p>
    <w:p w14:paraId="31C7D6E4" w14:textId="77777777" w:rsidR="00F03289" w:rsidRPr="00D405C7" w:rsidRDefault="00F03289" w:rsidP="00F03289">
      <w:pPr>
        <w:pStyle w:val="BodyText1"/>
        <w:rPr>
          <w:rFonts w:cs="Tahoma"/>
          <w:sz w:val="22"/>
        </w:rPr>
      </w:pPr>
      <w:r w:rsidRPr="00D405C7">
        <w:rPr>
          <w:rFonts w:cs="Tahoma"/>
          <w:sz w:val="22"/>
          <w:highlight w:val="yellow"/>
        </w:rPr>
        <w:t>(</w:t>
      </w:r>
      <w:proofErr w:type="gramStart"/>
      <w:r w:rsidRPr="00D405C7">
        <w:rPr>
          <w:rFonts w:cs="Tahoma"/>
          <w:sz w:val="22"/>
          <w:highlight w:val="yellow"/>
        </w:rPr>
        <w:t>name</w:t>
      </w:r>
      <w:proofErr w:type="gramEnd"/>
      <w:r w:rsidRPr="00D405C7">
        <w:rPr>
          <w:rFonts w:cs="Tahoma"/>
          <w:sz w:val="22"/>
          <w:highlight w:val="yellow"/>
        </w:rPr>
        <w:t xml:space="preserve"> of person responsible)</w:t>
      </w:r>
      <w:r w:rsidR="00F304B1" w:rsidRPr="00D405C7">
        <w:rPr>
          <w:rFonts w:cs="Tahoma"/>
          <w:sz w:val="22"/>
        </w:rPr>
        <w:t xml:space="preserve"> </w:t>
      </w:r>
      <w:r w:rsidRPr="00D405C7">
        <w:rPr>
          <w:rFonts w:cs="Tahoma"/>
          <w:sz w:val="22"/>
        </w:rPr>
        <w:t>will make commentary on the MI and pass this to the board for review.</w:t>
      </w:r>
    </w:p>
    <w:p w14:paraId="5A8BA7EB" w14:textId="77777777" w:rsidR="00F03289" w:rsidRPr="00D405C7" w:rsidRDefault="00F03289" w:rsidP="00F03289">
      <w:pPr>
        <w:pStyle w:val="BodyText1"/>
        <w:rPr>
          <w:rFonts w:cs="Tahoma"/>
          <w:sz w:val="22"/>
        </w:rPr>
      </w:pPr>
      <w:r w:rsidRPr="00D405C7">
        <w:rPr>
          <w:rFonts w:cs="Tahoma"/>
          <w:sz w:val="22"/>
        </w:rPr>
        <w:t xml:space="preserve">Financial crime, including bribery and corruption, will be an agenda item at board and senior management meetings and discussions </w:t>
      </w:r>
      <w:proofErr w:type="spellStart"/>
      <w:r w:rsidRPr="00D405C7">
        <w:rPr>
          <w:rFonts w:cs="Tahoma"/>
          <w:sz w:val="22"/>
        </w:rPr>
        <w:t>minuted</w:t>
      </w:r>
      <w:proofErr w:type="spellEnd"/>
      <w:r w:rsidRPr="00D405C7">
        <w:rPr>
          <w:rFonts w:cs="Tahoma"/>
          <w:sz w:val="22"/>
        </w:rPr>
        <w:t xml:space="preserve">.  </w:t>
      </w:r>
    </w:p>
    <w:p w14:paraId="3AB5B9F7" w14:textId="77777777" w:rsidR="00F03289" w:rsidRPr="00D405C7" w:rsidRDefault="00F03289" w:rsidP="00F03289">
      <w:pPr>
        <w:pStyle w:val="Heading2"/>
        <w:rPr>
          <w:rFonts w:cs="Tahoma"/>
          <w:szCs w:val="22"/>
        </w:rPr>
      </w:pPr>
      <w:r w:rsidRPr="00D405C7">
        <w:rPr>
          <w:rFonts w:cs="Tahoma"/>
          <w:szCs w:val="22"/>
        </w:rPr>
        <w:t>Accounts Payable</w:t>
      </w:r>
    </w:p>
    <w:p w14:paraId="68ABF92B" w14:textId="1E7C7B4A" w:rsidR="00F03289" w:rsidRPr="00D405C7" w:rsidRDefault="00F03289" w:rsidP="00F03289">
      <w:pPr>
        <w:pStyle w:val="BodyText1"/>
        <w:rPr>
          <w:rFonts w:cs="Tahoma"/>
          <w:sz w:val="22"/>
        </w:rPr>
      </w:pPr>
      <w:r w:rsidRPr="00D405C7">
        <w:rPr>
          <w:rFonts w:cs="Tahoma"/>
          <w:sz w:val="22"/>
        </w:rPr>
        <w:t xml:space="preserve">To ensure that employees are neither intentionally or innocently making, what could be viewed as, payments or inducements to a third party, the firm will regularly look at expense claims submitted.  Employees must be aware that the following may require further investigation and </w:t>
      </w:r>
      <w:proofErr w:type="gramStart"/>
      <w:r w:rsidRPr="00D405C7">
        <w:rPr>
          <w:rFonts w:cs="Tahoma"/>
          <w:sz w:val="22"/>
        </w:rPr>
        <w:t>explanation</w:t>
      </w:r>
      <w:r w:rsidR="006B1BCA">
        <w:rPr>
          <w:rFonts w:cs="Tahoma"/>
          <w:sz w:val="22"/>
        </w:rPr>
        <w:t>:-</w:t>
      </w:r>
      <w:proofErr w:type="gramEnd"/>
    </w:p>
    <w:p w14:paraId="2882C88E" w14:textId="77777777" w:rsidR="00F03289" w:rsidRPr="00D405C7" w:rsidRDefault="00F03289" w:rsidP="00F03289">
      <w:pPr>
        <w:pStyle w:val="Bodytextnormalbullet"/>
        <w:rPr>
          <w:rFonts w:cs="Tahoma"/>
          <w:sz w:val="22"/>
        </w:rPr>
      </w:pPr>
      <w:r w:rsidRPr="00D405C7">
        <w:rPr>
          <w:rFonts w:cs="Tahoma"/>
          <w:sz w:val="22"/>
        </w:rPr>
        <w:t>Excessive entertainment expenses.</w:t>
      </w:r>
    </w:p>
    <w:p w14:paraId="3C54B293" w14:textId="77777777" w:rsidR="00F03289" w:rsidRPr="00D405C7" w:rsidRDefault="00F03289" w:rsidP="00F03289">
      <w:pPr>
        <w:pStyle w:val="Bodytextnormalbullet"/>
        <w:rPr>
          <w:rFonts w:cs="Tahoma"/>
          <w:sz w:val="22"/>
        </w:rPr>
      </w:pPr>
      <w:r w:rsidRPr="00D405C7">
        <w:rPr>
          <w:rFonts w:cs="Tahoma"/>
          <w:sz w:val="22"/>
        </w:rPr>
        <w:t>Gifts and hospitability (these must be entered into the gifts and hospitality register).</w:t>
      </w:r>
    </w:p>
    <w:p w14:paraId="185373B7" w14:textId="77777777" w:rsidR="00F03289" w:rsidRPr="00D405C7" w:rsidRDefault="00F03289" w:rsidP="00F03289">
      <w:pPr>
        <w:pStyle w:val="Bodytextnormalbullet"/>
        <w:rPr>
          <w:rFonts w:cs="Tahoma"/>
          <w:sz w:val="22"/>
        </w:rPr>
      </w:pPr>
      <w:r w:rsidRPr="00D405C7">
        <w:rPr>
          <w:rFonts w:cs="Tahoma"/>
          <w:sz w:val="22"/>
        </w:rPr>
        <w:t>Cash payments.</w:t>
      </w:r>
    </w:p>
    <w:p w14:paraId="548B03CD" w14:textId="77777777" w:rsidR="00F03289" w:rsidRPr="00D405C7" w:rsidRDefault="00F03289" w:rsidP="00F03289">
      <w:pPr>
        <w:pStyle w:val="Bodytextnormalbullet"/>
        <w:rPr>
          <w:rFonts w:cs="Tahoma"/>
          <w:sz w:val="22"/>
        </w:rPr>
      </w:pPr>
      <w:r w:rsidRPr="00D405C7">
        <w:rPr>
          <w:rFonts w:cs="Tahoma"/>
          <w:sz w:val="22"/>
        </w:rPr>
        <w:t>Payments for lifestyle related bills such as travel or school fees.</w:t>
      </w:r>
    </w:p>
    <w:p w14:paraId="741DC4E2" w14:textId="77777777" w:rsidR="00F03289" w:rsidRPr="00D405C7" w:rsidRDefault="00F03289" w:rsidP="00F03289">
      <w:pPr>
        <w:pStyle w:val="BodyText1"/>
        <w:rPr>
          <w:rFonts w:cs="Tahoma"/>
          <w:sz w:val="22"/>
        </w:rPr>
      </w:pPr>
      <w:r w:rsidRPr="00D405C7">
        <w:rPr>
          <w:rFonts w:cs="Tahoma"/>
          <w:sz w:val="22"/>
        </w:rPr>
        <w:t xml:space="preserve">The firm will only pay genuine </w:t>
      </w:r>
      <w:proofErr w:type="gramStart"/>
      <w:r w:rsidRPr="00D405C7">
        <w:rPr>
          <w:rFonts w:cs="Tahoma"/>
          <w:sz w:val="22"/>
        </w:rPr>
        <w:t>business related</w:t>
      </w:r>
      <w:proofErr w:type="gramEnd"/>
      <w:r w:rsidRPr="00D405C7">
        <w:rPr>
          <w:rFonts w:cs="Tahoma"/>
          <w:sz w:val="22"/>
        </w:rPr>
        <w:t xml:space="preserve"> costs or reasonable entertainment costs. </w:t>
      </w:r>
    </w:p>
    <w:p w14:paraId="35170425" w14:textId="289278D6" w:rsidR="00F03289" w:rsidRPr="00D405C7" w:rsidRDefault="00EC1604" w:rsidP="00F03289">
      <w:pPr>
        <w:pStyle w:val="Heading2"/>
        <w:rPr>
          <w:rFonts w:cs="Tahoma"/>
          <w:szCs w:val="22"/>
        </w:rPr>
      </w:pPr>
      <w:r>
        <w:rPr>
          <w:rFonts w:cs="Tahoma"/>
          <w:szCs w:val="22"/>
        </w:rPr>
        <w:t>Employee</w:t>
      </w:r>
      <w:r w:rsidR="00F03289" w:rsidRPr="00D405C7">
        <w:rPr>
          <w:rFonts w:cs="Tahoma"/>
          <w:szCs w:val="22"/>
        </w:rPr>
        <w:t xml:space="preserve"> vetting procedures</w:t>
      </w:r>
    </w:p>
    <w:p w14:paraId="4F06C49A" w14:textId="16327100" w:rsidR="00F03289" w:rsidRPr="00D405C7" w:rsidRDefault="00F03289" w:rsidP="00F03289">
      <w:pPr>
        <w:pStyle w:val="BodyText1"/>
        <w:rPr>
          <w:rFonts w:cs="Tahoma"/>
          <w:sz w:val="22"/>
        </w:rPr>
      </w:pPr>
      <w:r w:rsidRPr="00D405C7">
        <w:rPr>
          <w:rFonts w:cs="Tahoma"/>
          <w:sz w:val="22"/>
        </w:rPr>
        <w:t xml:space="preserve">To ensure that we are recruiting the right </w:t>
      </w:r>
      <w:r w:rsidR="00EC1604">
        <w:rPr>
          <w:rFonts w:cs="Tahoma"/>
          <w:sz w:val="22"/>
        </w:rPr>
        <w:t>employee</w:t>
      </w:r>
      <w:r w:rsidR="006B1BCA">
        <w:rPr>
          <w:rFonts w:cs="Tahoma"/>
          <w:sz w:val="22"/>
        </w:rPr>
        <w:t>s</w:t>
      </w:r>
      <w:r w:rsidRPr="00D405C7">
        <w:rPr>
          <w:rFonts w:cs="Tahoma"/>
          <w:sz w:val="22"/>
        </w:rPr>
        <w:t xml:space="preserve">, especially brokers handling higher risk business accounts; accounts personnel with responsibility for processing third party payments; and those responsible for approving or reviewing third party relationships; the firm will ensure </w:t>
      </w:r>
      <w:proofErr w:type="gramStart"/>
      <w:r w:rsidRPr="00D405C7">
        <w:rPr>
          <w:rFonts w:cs="Tahoma"/>
          <w:sz w:val="22"/>
        </w:rPr>
        <w:t>that</w:t>
      </w:r>
      <w:proofErr w:type="gramEnd"/>
    </w:p>
    <w:p w14:paraId="51B11485" w14:textId="2825DCE0" w:rsidR="00F03289" w:rsidRPr="00D405C7" w:rsidRDefault="00F03289" w:rsidP="00F03289">
      <w:pPr>
        <w:pStyle w:val="Bodytextnormalbullet"/>
        <w:rPr>
          <w:rFonts w:cs="Tahoma"/>
          <w:sz w:val="22"/>
        </w:rPr>
      </w:pPr>
      <w:r w:rsidRPr="00D405C7">
        <w:rPr>
          <w:rFonts w:cs="Tahoma"/>
          <w:sz w:val="22"/>
        </w:rPr>
        <w:t xml:space="preserve">annual honesty, integrity, and reputation questionnaires are completed by all </w:t>
      </w:r>
      <w:proofErr w:type="gramStart"/>
      <w:r w:rsidR="00EC1604">
        <w:rPr>
          <w:rFonts w:cs="Tahoma"/>
          <w:sz w:val="22"/>
        </w:rPr>
        <w:t>employee</w:t>
      </w:r>
      <w:proofErr w:type="gramEnd"/>
      <w:r w:rsidRPr="00D405C7">
        <w:rPr>
          <w:rFonts w:cs="Tahoma"/>
          <w:sz w:val="22"/>
        </w:rPr>
        <w:t xml:space="preserve"> </w:t>
      </w:r>
    </w:p>
    <w:p w14:paraId="116D2496" w14:textId="79D78339" w:rsidR="00F03289" w:rsidRPr="00D405C7" w:rsidRDefault="00F304B1" w:rsidP="00F03289">
      <w:pPr>
        <w:pStyle w:val="Bodytextnormalbullet"/>
        <w:rPr>
          <w:rFonts w:cs="Tahoma"/>
          <w:color w:val="000000"/>
          <w:sz w:val="22"/>
        </w:rPr>
      </w:pPr>
      <w:r w:rsidRPr="00D405C7">
        <w:rPr>
          <w:rFonts w:cs="Tahoma"/>
          <w:sz w:val="22"/>
        </w:rPr>
        <w:t>Credit checks and DBS</w:t>
      </w:r>
      <w:r w:rsidR="00F03289" w:rsidRPr="00D405C7">
        <w:rPr>
          <w:rFonts w:cs="Tahoma"/>
          <w:sz w:val="22"/>
        </w:rPr>
        <w:t xml:space="preserve"> checks will be carried out on all newly appointed </w:t>
      </w:r>
      <w:r w:rsidR="00EC1604">
        <w:rPr>
          <w:rFonts w:cs="Tahoma"/>
          <w:sz w:val="22"/>
        </w:rPr>
        <w:t>employee</w:t>
      </w:r>
      <w:r w:rsidR="00F03289" w:rsidRPr="00D405C7">
        <w:rPr>
          <w:rFonts w:cs="Tahoma"/>
          <w:sz w:val="22"/>
        </w:rPr>
        <w:t xml:space="preserve"> and, on receipt of agreement, existing </w:t>
      </w:r>
      <w:r w:rsidR="00EC1604">
        <w:rPr>
          <w:rFonts w:cs="Tahoma"/>
          <w:sz w:val="22"/>
        </w:rPr>
        <w:t>employee</w:t>
      </w:r>
      <w:r w:rsidR="006B1BCA">
        <w:rPr>
          <w:rFonts w:cs="Tahoma"/>
          <w:sz w:val="22"/>
        </w:rPr>
        <w:t>s</w:t>
      </w:r>
      <w:r w:rsidR="00F03289" w:rsidRPr="00D405C7">
        <w:rPr>
          <w:rFonts w:cs="Tahoma"/>
          <w:sz w:val="22"/>
        </w:rPr>
        <w:t>.</w:t>
      </w:r>
      <w:r w:rsidR="00F03289" w:rsidRPr="00D405C7">
        <w:rPr>
          <w:rFonts w:cs="Tahoma"/>
          <w:color w:val="000000"/>
          <w:sz w:val="22"/>
        </w:rPr>
        <w:t xml:space="preserve"> </w:t>
      </w:r>
    </w:p>
    <w:p w14:paraId="2321420C" w14:textId="5BD20AD4" w:rsidR="00A6788F" w:rsidRPr="00D405C7" w:rsidRDefault="00A6788F" w:rsidP="00A6788F">
      <w:pPr>
        <w:pStyle w:val="Bodytextnormalbullet"/>
        <w:numPr>
          <w:ilvl w:val="0"/>
          <w:numId w:val="0"/>
        </w:numPr>
        <w:rPr>
          <w:rFonts w:cs="Tahoma"/>
          <w:color w:val="000000"/>
          <w:sz w:val="22"/>
        </w:rPr>
      </w:pPr>
      <w:r w:rsidRPr="00D405C7">
        <w:rPr>
          <w:rFonts w:cs="Tahoma"/>
          <w:color w:val="000000"/>
          <w:sz w:val="22"/>
        </w:rPr>
        <w:t xml:space="preserve">The firm may make use of </w:t>
      </w:r>
      <w:r w:rsidRPr="00D405C7">
        <w:rPr>
          <w:rFonts w:cs="Tahoma"/>
          <w:sz w:val="22"/>
        </w:rPr>
        <w:t xml:space="preserve">financial sanction lists, commercially available intelligence databases and the CIFAS </w:t>
      </w:r>
      <w:r w:rsidR="006B1BCA">
        <w:rPr>
          <w:rFonts w:cs="Tahoma"/>
          <w:sz w:val="22"/>
        </w:rPr>
        <w:t>Internal</w:t>
      </w:r>
      <w:r w:rsidRPr="00D405C7">
        <w:rPr>
          <w:rFonts w:cs="Tahoma"/>
          <w:sz w:val="22"/>
        </w:rPr>
        <w:t xml:space="preserve"> Fraud database.</w:t>
      </w:r>
    </w:p>
    <w:p w14:paraId="4DEF78A3" w14:textId="3DFCAB5D" w:rsidR="00A6788F" w:rsidRPr="00D405C7" w:rsidRDefault="00A6788F" w:rsidP="00A6788F">
      <w:pPr>
        <w:pStyle w:val="Bodytextnormalbullet"/>
        <w:numPr>
          <w:ilvl w:val="0"/>
          <w:numId w:val="0"/>
        </w:numPr>
        <w:rPr>
          <w:rFonts w:cs="Tahoma"/>
          <w:sz w:val="22"/>
        </w:rPr>
      </w:pPr>
      <w:r w:rsidRPr="00D405C7">
        <w:rPr>
          <w:rFonts w:cs="Tahoma"/>
          <w:sz w:val="22"/>
        </w:rPr>
        <w:t xml:space="preserve">Vetting of new </w:t>
      </w:r>
      <w:r w:rsidR="00EC1604">
        <w:rPr>
          <w:rFonts w:cs="Tahoma"/>
          <w:sz w:val="22"/>
        </w:rPr>
        <w:t>employee</w:t>
      </w:r>
      <w:r w:rsidR="006B1BCA">
        <w:rPr>
          <w:rFonts w:cs="Tahoma"/>
          <w:sz w:val="22"/>
        </w:rPr>
        <w:t>s</w:t>
      </w:r>
      <w:r w:rsidRPr="00D405C7">
        <w:rPr>
          <w:rFonts w:cs="Tahoma"/>
          <w:sz w:val="22"/>
        </w:rPr>
        <w:t xml:space="preserve"> engaged through Employment Agencies will be undertaken even if vetting has been completed by the Employment Agency. Such vetting will include temporary or contract </w:t>
      </w:r>
      <w:r w:rsidR="00EC1604">
        <w:rPr>
          <w:rFonts w:cs="Tahoma"/>
          <w:sz w:val="22"/>
        </w:rPr>
        <w:t>employee</w:t>
      </w:r>
      <w:r w:rsidR="006B1BCA">
        <w:rPr>
          <w:rFonts w:cs="Tahoma"/>
          <w:sz w:val="22"/>
        </w:rPr>
        <w:t>s</w:t>
      </w:r>
      <w:r w:rsidRPr="00D405C7">
        <w:rPr>
          <w:rFonts w:cs="Tahoma"/>
          <w:sz w:val="22"/>
        </w:rPr>
        <w:t>.</w:t>
      </w:r>
    </w:p>
    <w:p w14:paraId="76F3DA7B" w14:textId="2146D897" w:rsidR="00F03289" w:rsidRPr="00D405C7" w:rsidRDefault="00EC1604" w:rsidP="00F03289">
      <w:pPr>
        <w:pStyle w:val="Heading2"/>
        <w:rPr>
          <w:rFonts w:cs="Tahoma"/>
          <w:szCs w:val="22"/>
        </w:rPr>
      </w:pPr>
      <w:r>
        <w:rPr>
          <w:rFonts w:cs="Tahoma"/>
          <w:szCs w:val="22"/>
        </w:rPr>
        <w:t>Employee</w:t>
      </w:r>
      <w:r w:rsidR="00F03289" w:rsidRPr="00D405C7">
        <w:rPr>
          <w:rFonts w:cs="Tahoma"/>
          <w:szCs w:val="22"/>
        </w:rPr>
        <w:t xml:space="preserve"> training and retraining</w:t>
      </w:r>
    </w:p>
    <w:p w14:paraId="041195A7" w14:textId="50C2CDE5" w:rsidR="00A6788F" w:rsidRPr="00D405C7" w:rsidRDefault="00F03289" w:rsidP="00F03289">
      <w:pPr>
        <w:pStyle w:val="BodyText1"/>
        <w:rPr>
          <w:rFonts w:cs="Tahoma"/>
          <w:sz w:val="22"/>
        </w:rPr>
      </w:pPr>
      <w:r w:rsidRPr="00D405C7">
        <w:rPr>
          <w:rFonts w:cs="Tahoma"/>
          <w:sz w:val="22"/>
        </w:rPr>
        <w:t xml:space="preserve">Training will be provided and refreshed on a regular basis on the topic of Financial Crime, including reference to Fraud, Money Laundering, and </w:t>
      </w:r>
      <w:r w:rsidR="00303E66" w:rsidRPr="00D405C7">
        <w:rPr>
          <w:rFonts w:cs="Tahoma"/>
          <w:sz w:val="22"/>
        </w:rPr>
        <w:t>Anti-</w:t>
      </w:r>
      <w:r w:rsidRPr="00D405C7">
        <w:rPr>
          <w:rFonts w:cs="Tahoma"/>
          <w:sz w:val="22"/>
        </w:rPr>
        <w:t xml:space="preserve">Bribery and Corruption.  However, if at any time an employee requires clarification on this topic, they should not wait for the next refresher course but raise the topic immediately with </w:t>
      </w:r>
      <w:r w:rsidRPr="00D405C7">
        <w:rPr>
          <w:rFonts w:cs="Tahoma"/>
          <w:sz w:val="22"/>
          <w:highlight w:val="yellow"/>
        </w:rPr>
        <w:t>(name of person)</w:t>
      </w:r>
      <w:r w:rsidRPr="00D405C7">
        <w:rPr>
          <w:rFonts w:cs="Tahoma"/>
          <w:sz w:val="22"/>
        </w:rPr>
        <w:t>.</w:t>
      </w:r>
      <w:r w:rsidR="00A6788F" w:rsidRPr="00D405C7">
        <w:rPr>
          <w:rFonts w:cs="Tahoma"/>
          <w:sz w:val="22"/>
        </w:rPr>
        <w:t xml:space="preserve">  Training will be tested to ensure understanding.  All training must be recorded in the employees training record/log.</w:t>
      </w:r>
    </w:p>
    <w:p w14:paraId="31A6C99D" w14:textId="77777777" w:rsidR="00A6788F" w:rsidRPr="00D405C7" w:rsidRDefault="00A6788F" w:rsidP="00A6788F">
      <w:pPr>
        <w:pStyle w:val="ListParagraph"/>
        <w:autoSpaceDE w:val="0"/>
        <w:autoSpaceDN w:val="0"/>
        <w:adjustRightInd w:val="0"/>
        <w:spacing w:line="240" w:lineRule="auto"/>
        <w:ind w:left="0"/>
        <w:contextualSpacing w:val="0"/>
        <w:rPr>
          <w:rFonts w:cs="Tahoma"/>
          <w:sz w:val="22"/>
        </w:rPr>
      </w:pPr>
      <w:r w:rsidRPr="00D405C7">
        <w:rPr>
          <w:rFonts w:cs="Tahoma"/>
          <w:sz w:val="22"/>
        </w:rPr>
        <w:t xml:space="preserve">If necessary, appropriate external expertise will be obtained to support in-house knowledge on anti-bribery and corruption legislation and regulatory requirements. </w:t>
      </w:r>
    </w:p>
    <w:p w14:paraId="66914A60" w14:textId="77777777" w:rsidR="00A6788F" w:rsidRPr="00D405C7" w:rsidRDefault="00A6788F" w:rsidP="00F03289">
      <w:pPr>
        <w:pStyle w:val="BodyText1"/>
        <w:rPr>
          <w:rFonts w:cs="Tahoma"/>
          <w:sz w:val="22"/>
        </w:rPr>
      </w:pPr>
      <w:r w:rsidRPr="00D405C7">
        <w:rPr>
          <w:rFonts w:cs="Tahoma"/>
          <w:sz w:val="22"/>
        </w:rPr>
        <w:t xml:space="preserve"> </w:t>
      </w:r>
    </w:p>
    <w:p w14:paraId="6EDF2382" w14:textId="77777777" w:rsidR="00F03289" w:rsidRPr="00D405C7" w:rsidRDefault="00F03289" w:rsidP="00F03289">
      <w:pPr>
        <w:pStyle w:val="Heading2"/>
        <w:rPr>
          <w:rFonts w:cs="Tahoma"/>
          <w:szCs w:val="22"/>
        </w:rPr>
      </w:pPr>
      <w:r w:rsidRPr="00D405C7">
        <w:rPr>
          <w:rFonts w:cs="Tahoma"/>
          <w:szCs w:val="22"/>
        </w:rPr>
        <w:lastRenderedPageBreak/>
        <w:t>Remuneration</w:t>
      </w:r>
    </w:p>
    <w:p w14:paraId="01621BE1" w14:textId="77777777" w:rsidR="00F03289" w:rsidRPr="00D405C7" w:rsidRDefault="00F03289" w:rsidP="00F03289">
      <w:pPr>
        <w:pStyle w:val="BodyText1"/>
        <w:rPr>
          <w:rFonts w:cs="Tahoma"/>
          <w:sz w:val="22"/>
        </w:rPr>
      </w:pPr>
      <w:r w:rsidRPr="00D405C7">
        <w:rPr>
          <w:rFonts w:cs="Tahoma"/>
          <w:sz w:val="22"/>
        </w:rPr>
        <w:t xml:space="preserve">The firm’s remuneration strategy will be regularly reviewed to ensure that it could not give rise to an increased risk of bribery and corruption.   </w:t>
      </w:r>
    </w:p>
    <w:p w14:paraId="2BD43EB6" w14:textId="778FD384" w:rsidR="00F03289" w:rsidRDefault="00F03289" w:rsidP="00F03289">
      <w:pPr>
        <w:pStyle w:val="BodyText1"/>
        <w:rPr>
          <w:rFonts w:cs="Tahoma"/>
          <w:color w:val="000000"/>
          <w:sz w:val="22"/>
        </w:rPr>
      </w:pPr>
      <w:r w:rsidRPr="00D405C7">
        <w:rPr>
          <w:rFonts w:cs="Tahoma"/>
          <w:color w:val="000000"/>
          <w:sz w:val="22"/>
        </w:rPr>
        <w:t xml:space="preserve">When appropriate the firm will pay bonuses however, the firm will ensure that they scrutinise any bonus structure and document why it is suitable and does not increase the risk of bribery and corruption. </w:t>
      </w:r>
    </w:p>
    <w:p w14:paraId="407F3A83" w14:textId="2112F9D1" w:rsidR="009435EE" w:rsidRDefault="009435EE" w:rsidP="009435EE">
      <w:pPr>
        <w:pStyle w:val="subpara1"/>
        <w:shd w:val="clear" w:color="auto" w:fill="FFFFFF"/>
        <w:spacing w:before="0" w:beforeAutospacing="0" w:after="90" w:afterAutospacing="0"/>
        <w:textAlignment w:val="baseline"/>
        <w:rPr>
          <w:rFonts w:ascii="Arial" w:hAnsi="Arial" w:cs="Arial"/>
          <w:color w:val="333333"/>
          <w:sz w:val="22"/>
          <w:szCs w:val="22"/>
        </w:rPr>
      </w:pPr>
      <w:bookmarkStart w:id="1" w:name="_Hlk65847661"/>
      <w:r>
        <w:rPr>
          <w:rFonts w:ascii="Arial" w:hAnsi="Arial" w:cs="Arial"/>
          <w:color w:val="000000"/>
          <w:sz w:val="22"/>
          <w:szCs w:val="22"/>
        </w:rPr>
        <w:t xml:space="preserve">In accordance with SYSC 19 F 2.2 it is noted that the firm must not be remunerated or remunerate or assess the performance of employees in a way that conflicts with our duty to always act in our customers’ best interests.  </w:t>
      </w:r>
    </w:p>
    <w:bookmarkEnd w:id="1"/>
    <w:p w14:paraId="6BF49AD7" w14:textId="77777777" w:rsidR="009435EE" w:rsidRDefault="009435EE" w:rsidP="009435EE">
      <w:pPr>
        <w:pStyle w:val="BodyText2"/>
        <w:rPr>
          <w:color w:val="000000"/>
        </w:rPr>
      </w:pPr>
    </w:p>
    <w:p w14:paraId="63B270A7" w14:textId="77777777" w:rsidR="009435EE" w:rsidRPr="00D405C7" w:rsidRDefault="009435EE" w:rsidP="00F03289">
      <w:pPr>
        <w:pStyle w:val="BodyText1"/>
        <w:rPr>
          <w:rFonts w:cs="Tahoma"/>
          <w:color w:val="000000"/>
          <w:sz w:val="22"/>
        </w:rPr>
      </w:pPr>
    </w:p>
    <w:sectPr w:rsidR="009435EE" w:rsidRPr="00D405C7" w:rsidSect="00E82433">
      <w:footerReference w:type="default" r:id="rId9"/>
      <w:pgSz w:w="11907" w:h="16840"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09381" w14:textId="77777777" w:rsidR="005F4FC7" w:rsidRDefault="005F4FC7" w:rsidP="00464C40">
      <w:pPr>
        <w:spacing w:line="240" w:lineRule="auto"/>
      </w:pPr>
      <w:r>
        <w:separator/>
      </w:r>
    </w:p>
  </w:endnote>
  <w:endnote w:type="continuationSeparator" w:id="0">
    <w:p w14:paraId="1A278156" w14:textId="77777777" w:rsidR="005F4FC7" w:rsidRDefault="005F4FC7" w:rsidP="00464C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iss 2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BEF7B" w14:textId="77777777" w:rsidR="002A5452" w:rsidRDefault="002A545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303E66">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03E66">
      <w:rPr>
        <w:b/>
        <w:noProof/>
      </w:rPr>
      <w:t>4</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699E6" w14:textId="77777777" w:rsidR="005F4FC7" w:rsidRDefault="005F4FC7" w:rsidP="00464C40">
      <w:pPr>
        <w:spacing w:line="240" w:lineRule="auto"/>
      </w:pPr>
      <w:r>
        <w:separator/>
      </w:r>
    </w:p>
  </w:footnote>
  <w:footnote w:type="continuationSeparator" w:id="0">
    <w:p w14:paraId="55BE5EFD" w14:textId="77777777" w:rsidR="005F4FC7" w:rsidRDefault="005F4FC7" w:rsidP="00464C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81A"/>
    <w:multiLevelType w:val="hybridMultilevel"/>
    <w:tmpl w:val="077EB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825A0"/>
    <w:multiLevelType w:val="hybridMultilevel"/>
    <w:tmpl w:val="3A705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E6811"/>
    <w:multiLevelType w:val="hybridMultilevel"/>
    <w:tmpl w:val="FACE57FE"/>
    <w:lvl w:ilvl="0" w:tplc="A4F4D28C">
      <w:start w:val="1"/>
      <w:numFmt w:val="bullet"/>
      <w:pStyle w:val="bodytextarrowbullets"/>
      <w:lvlText w:val=""/>
      <w:lvlJc w:val="left"/>
      <w:pPr>
        <w:ind w:left="71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C06CB"/>
    <w:multiLevelType w:val="hybridMultilevel"/>
    <w:tmpl w:val="8E2A6B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72232F5"/>
    <w:multiLevelType w:val="hybridMultilevel"/>
    <w:tmpl w:val="3CA865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1204CF"/>
    <w:multiLevelType w:val="hybridMultilevel"/>
    <w:tmpl w:val="412C93E6"/>
    <w:lvl w:ilvl="0" w:tplc="4586B94E">
      <w:start w:val="1"/>
      <w:numFmt w:val="lowerLetter"/>
      <w:pStyle w:val="Bodytextletterbulle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604648"/>
    <w:multiLevelType w:val="hybridMultilevel"/>
    <w:tmpl w:val="E24C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DB30B9"/>
    <w:multiLevelType w:val="hybridMultilevel"/>
    <w:tmpl w:val="E54895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0673FF"/>
    <w:multiLevelType w:val="hybridMultilevel"/>
    <w:tmpl w:val="FD0EB7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5A2F0F58"/>
    <w:multiLevelType w:val="hybridMultilevel"/>
    <w:tmpl w:val="860C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94752F"/>
    <w:multiLevelType w:val="hybridMultilevel"/>
    <w:tmpl w:val="B73884F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73100F8"/>
    <w:multiLevelType w:val="hybridMultilevel"/>
    <w:tmpl w:val="CFF45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902244"/>
    <w:multiLevelType w:val="hybridMultilevel"/>
    <w:tmpl w:val="B6267470"/>
    <w:lvl w:ilvl="0" w:tplc="89F643F6">
      <w:start w:val="1"/>
      <w:numFmt w:val="bullet"/>
      <w:pStyle w:val="Bodytextnorm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0939F7"/>
    <w:multiLevelType w:val="hybridMultilevel"/>
    <w:tmpl w:val="299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D63E5E"/>
    <w:multiLevelType w:val="hybridMultilevel"/>
    <w:tmpl w:val="4482A95E"/>
    <w:lvl w:ilvl="0" w:tplc="B6ECF1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4B46E6"/>
    <w:multiLevelType w:val="hybridMultilevel"/>
    <w:tmpl w:val="62DADD30"/>
    <w:lvl w:ilvl="0" w:tplc="CFE648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973FF6"/>
    <w:multiLevelType w:val="hybridMultilevel"/>
    <w:tmpl w:val="E4960578"/>
    <w:lvl w:ilvl="0" w:tplc="CFE648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34281">
    <w:abstractNumId w:val="7"/>
  </w:num>
  <w:num w:numId="2" w16cid:durableId="1061094022">
    <w:abstractNumId w:val="2"/>
  </w:num>
  <w:num w:numId="3" w16cid:durableId="1012996553">
    <w:abstractNumId w:val="4"/>
  </w:num>
  <w:num w:numId="4" w16cid:durableId="1858234540">
    <w:abstractNumId w:val="14"/>
  </w:num>
  <w:num w:numId="5" w16cid:durableId="2042196067">
    <w:abstractNumId w:val="16"/>
  </w:num>
  <w:num w:numId="6" w16cid:durableId="508103708">
    <w:abstractNumId w:val="15"/>
  </w:num>
  <w:num w:numId="7" w16cid:durableId="895552489">
    <w:abstractNumId w:val="13"/>
  </w:num>
  <w:num w:numId="8" w16cid:durableId="19038305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9947833">
    <w:abstractNumId w:val="3"/>
  </w:num>
  <w:num w:numId="10" w16cid:durableId="2072540829">
    <w:abstractNumId w:val="1"/>
  </w:num>
  <w:num w:numId="11" w16cid:durableId="1881091405">
    <w:abstractNumId w:val="0"/>
  </w:num>
  <w:num w:numId="12" w16cid:durableId="1481113800">
    <w:abstractNumId w:val="8"/>
  </w:num>
  <w:num w:numId="13" w16cid:durableId="139658439">
    <w:abstractNumId w:val="6"/>
  </w:num>
  <w:num w:numId="14" w16cid:durableId="73094995">
    <w:abstractNumId w:val="12"/>
  </w:num>
  <w:num w:numId="15" w16cid:durableId="1507550549">
    <w:abstractNumId w:val="5"/>
  </w:num>
  <w:num w:numId="16" w16cid:durableId="1683163392">
    <w:abstractNumId w:val="9"/>
  </w:num>
  <w:num w:numId="17" w16cid:durableId="1535002738">
    <w:abstractNumId w:val="10"/>
  </w:num>
  <w:num w:numId="18" w16cid:durableId="15423249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9A"/>
    <w:rsid w:val="00000525"/>
    <w:rsid w:val="00000F71"/>
    <w:rsid w:val="00031CE3"/>
    <w:rsid w:val="00041B2F"/>
    <w:rsid w:val="00083393"/>
    <w:rsid w:val="00083A7D"/>
    <w:rsid w:val="00094682"/>
    <w:rsid w:val="000A1AC4"/>
    <w:rsid w:val="000C311E"/>
    <w:rsid w:val="000D1C20"/>
    <w:rsid w:val="000E0F60"/>
    <w:rsid w:val="000F0C86"/>
    <w:rsid w:val="00104924"/>
    <w:rsid w:val="00120979"/>
    <w:rsid w:val="001410DC"/>
    <w:rsid w:val="001615B8"/>
    <w:rsid w:val="0017524E"/>
    <w:rsid w:val="00191A66"/>
    <w:rsid w:val="001B694B"/>
    <w:rsid w:val="001C4399"/>
    <w:rsid w:val="001D2CAF"/>
    <w:rsid w:val="001F2C37"/>
    <w:rsid w:val="001F6F26"/>
    <w:rsid w:val="00242C26"/>
    <w:rsid w:val="00282B32"/>
    <w:rsid w:val="00296510"/>
    <w:rsid w:val="002A0C01"/>
    <w:rsid w:val="002A5452"/>
    <w:rsid w:val="002E1D47"/>
    <w:rsid w:val="002E25BD"/>
    <w:rsid w:val="00303E66"/>
    <w:rsid w:val="0034364F"/>
    <w:rsid w:val="00344166"/>
    <w:rsid w:val="00366A14"/>
    <w:rsid w:val="00376D49"/>
    <w:rsid w:val="00386942"/>
    <w:rsid w:val="00394F0B"/>
    <w:rsid w:val="003B438E"/>
    <w:rsid w:val="003F5296"/>
    <w:rsid w:val="00402633"/>
    <w:rsid w:val="0041598A"/>
    <w:rsid w:val="004319CF"/>
    <w:rsid w:val="004453C9"/>
    <w:rsid w:val="00451A63"/>
    <w:rsid w:val="00464C40"/>
    <w:rsid w:val="004907AE"/>
    <w:rsid w:val="00492857"/>
    <w:rsid w:val="004C2A64"/>
    <w:rsid w:val="004C612D"/>
    <w:rsid w:val="005078CA"/>
    <w:rsid w:val="00516514"/>
    <w:rsid w:val="00524F49"/>
    <w:rsid w:val="00560182"/>
    <w:rsid w:val="00562455"/>
    <w:rsid w:val="00567E37"/>
    <w:rsid w:val="005B68F7"/>
    <w:rsid w:val="005C1221"/>
    <w:rsid w:val="005E2C88"/>
    <w:rsid w:val="005F00FC"/>
    <w:rsid w:val="005F4FC7"/>
    <w:rsid w:val="00613185"/>
    <w:rsid w:val="0061370B"/>
    <w:rsid w:val="00615765"/>
    <w:rsid w:val="00621B8F"/>
    <w:rsid w:val="00662740"/>
    <w:rsid w:val="00666B9F"/>
    <w:rsid w:val="00687F35"/>
    <w:rsid w:val="006967B8"/>
    <w:rsid w:val="00697475"/>
    <w:rsid w:val="006B1BCA"/>
    <w:rsid w:val="006C6156"/>
    <w:rsid w:val="006E44C1"/>
    <w:rsid w:val="00700F82"/>
    <w:rsid w:val="00712ADD"/>
    <w:rsid w:val="007146CC"/>
    <w:rsid w:val="007211D7"/>
    <w:rsid w:val="00733CD1"/>
    <w:rsid w:val="00772520"/>
    <w:rsid w:val="007970B6"/>
    <w:rsid w:val="007A2961"/>
    <w:rsid w:val="007F4DA8"/>
    <w:rsid w:val="00803EA0"/>
    <w:rsid w:val="00840FE8"/>
    <w:rsid w:val="008444C8"/>
    <w:rsid w:val="00890109"/>
    <w:rsid w:val="008921A8"/>
    <w:rsid w:val="008D1D90"/>
    <w:rsid w:val="00900987"/>
    <w:rsid w:val="0091626D"/>
    <w:rsid w:val="009362AC"/>
    <w:rsid w:val="009435EE"/>
    <w:rsid w:val="00973538"/>
    <w:rsid w:val="00981DF8"/>
    <w:rsid w:val="009A3ED5"/>
    <w:rsid w:val="00A2670D"/>
    <w:rsid w:val="00A45D4A"/>
    <w:rsid w:val="00A64909"/>
    <w:rsid w:val="00A6788F"/>
    <w:rsid w:val="00A71812"/>
    <w:rsid w:val="00A9134E"/>
    <w:rsid w:val="00A92291"/>
    <w:rsid w:val="00AA7078"/>
    <w:rsid w:val="00AB1F91"/>
    <w:rsid w:val="00AB33F2"/>
    <w:rsid w:val="00AF7383"/>
    <w:rsid w:val="00B057D9"/>
    <w:rsid w:val="00B35D38"/>
    <w:rsid w:val="00B476EA"/>
    <w:rsid w:val="00B717A0"/>
    <w:rsid w:val="00B77AAA"/>
    <w:rsid w:val="00B86FB0"/>
    <w:rsid w:val="00BA3862"/>
    <w:rsid w:val="00BF7CEC"/>
    <w:rsid w:val="00C151A9"/>
    <w:rsid w:val="00C341A3"/>
    <w:rsid w:val="00C52A9A"/>
    <w:rsid w:val="00C74A21"/>
    <w:rsid w:val="00C9665D"/>
    <w:rsid w:val="00C96D70"/>
    <w:rsid w:val="00CA2437"/>
    <w:rsid w:val="00CD214F"/>
    <w:rsid w:val="00CD544B"/>
    <w:rsid w:val="00CF48D0"/>
    <w:rsid w:val="00D17BC9"/>
    <w:rsid w:val="00D21B35"/>
    <w:rsid w:val="00D3676B"/>
    <w:rsid w:val="00D405C7"/>
    <w:rsid w:val="00D43B99"/>
    <w:rsid w:val="00D66D11"/>
    <w:rsid w:val="00DD292A"/>
    <w:rsid w:val="00E76B03"/>
    <w:rsid w:val="00E8062C"/>
    <w:rsid w:val="00E82433"/>
    <w:rsid w:val="00EB0A18"/>
    <w:rsid w:val="00EC1604"/>
    <w:rsid w:val="00EC258A"/>
    <w:rsid w:val="00ED7BB8"/>
    <w:rsid w:val="00EE4CA0"/>
    <w:rsid w:val="00EF66B9"/>
    <w:rsid w:val="00F03289"/>
    <w:rsid w:val="00F110C5"/>
    <w:rsid w:val="00F1689F"/>
    <w:rsid w:val="00F20FF9"/>
    <w:rsid w:val="00F304B1"/>
    <w:rsid w:val="00FB656A"/>
    <w:rsid w:val="00FC4879"/>
    <w:rsid w:val="00FC5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4736C0A"/>
  <w15:chartTrackingRefBased/>
  <w15:docId w15:val="{05BE2255-321B-41C7-A727-79E74D7B1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DF8"/>
    <w:pPr>
      <w:spacing w:line="276" w:lineRule="auto"/>
    </w:pPr>
    <w:rPr>
      <w:rFonts w:ascii="Tahoma" w:hAnsi="Tahoma"/>
      <w:szCs w:val="22"/>
      <w:lang w:eastAsia="en-US"/>
    </w:rPr>
  </w:style>
  <w:style w:type="paragraph" w:styleId="Heading1">
    <w:name w:val="heading 1"/>
    <w:basedOn w:val="Normal"/>
    <w:next w:val="Normal"/>
    <w:link w:val="Heading1Char"/>
    <w:uiPriority w:val="9"/>
    <w:qFormat/>
    <w:rsid w:val="00464C40"/>
    <w:pPr>
      <w:keepNext/>
      <w:spacing w:after="240" w:line="240" w:lineRule="auto"/>
      <w:outlineLvl w:val="0"/>
    </w:pPr>
    <w:rPr>
      <w:rFonts w:eastAsia="Times New Roman"/>
      <w:b/>
      <w:bCs/>
      <w:kern w:val="32"/>
      <w:sz w:val="28"/>
      <w:szCs w:val="32"/>
    </w:rPr>
  </w:style>
  <w:style w:type="paragraph" w:styleId="Heading2">
    <w:name w:val="heading 2"/>
    <w:basedOn w:val="Normal"/>
    <w:next w:val="Normal"/>
    <w:link w:val="Heading2Char"/>
    <w:uiPriority w:val="9"/>
    <w:qFormat/>
    <w:rsid w:val="00E82433"/>
    <w:pPr>
      <w:keepNext/>
      <w:spacing w:before="240" w:after="60" w:line="240" w:lineRule="auto"/>
      <w:outlineLvl w:val="1"/>
    </w:pPr>
    <w:rPr>
      <w:rFonts w:eastAsia="Times New Roman"/>
      <w:bCs/>
      <w:iCs/>
      <w:sz w:val="2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341A3"/>
    <w:rPr>
      <w:color w:val="0000FF"/>
      <w:u w:val="single"/>
    </w:rPr>
  </w:style>
  <w:style w:type="paragraph" w:styleId="NormalWeb">
    <w:name w:val="Normal (Web)"/>
    <w:basedOn w:val="Normal"/>
    <w:uiPriority w:val="99"/>
    <w:semiHidden/>
    <w:unhideWhenUsed/>
    <w:rsid w:val="00840FE8"/>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7970B6"/>
    <w:pPr>
      <w:ind w:left="720"/>
      <w:contextualSpacing/>
    </w:pPr>
  </w:style>
  <w:style w:type="paragraph" w:styleId="BalloonText">
    <w:name w:val="Balloon Text"/>
    <w:basedOn w:val="Normal"/>
    <w:link w:val="BalloonTextChar"/>
    <w:uiPriority w:val="99"/>
    <w:semiHidden/>
    <w:unhideWhenUsed/>
    <w:rsid w:val="00B86FB0"/>
    <w:pPr>
      <w:spacing w:line="240" w:lineRule="auto"/>
    </w:pPr>
    <w:rPr>
      <w:rFonts w:cs="Tahoma"/>
      <w:sz w:val="16"/>
      <w:szCs w:val="16"/>
    </w:rPr>
  </w:style>
  <w:style w:type="character" w:customStyle="1" w:styleId="BalloonTextChar">
    <w:name w:val="Balloon Text Char"/>
    <w:link w:val="BalloonText"/>
    <w:uiPriority w:val="99"/>
    <w:semiHidden/>
    <w:rsid w:val="00B86FB0"/>
    <w:rPr>
      <w:rFonts w:ascii="Tahoma" w:hAnsi="Tahoma" w:cs="Tahoma"/>
      <w:sz w:val="16"/>
      <w:szCs w:val="16"/>
      <w:lang w:val="en-GB"/>
    </w:rPr>
  </w:style>
  <w:style w:type="paragraph" w:styleId="Revision">
    <w:name w:val="Revision"/>
    <w:hidden/>
    <w:uiPriority w:val="99"/>
    <w:semiHidden/>
    <w:rsid w:val="00B86FB0"/>
    <w:rPr>
      <w:sz w:val="22"/>
      <w:szCs w:val="22"/>
      <w:lang w:eastAsia="en-US"/>
    </w:rPr>
  </w:style>
  <w:style w:type="character" w:customStyle="1" w:styleId="Heading1Char">
    <w:name w:val="Heading 1 Char"/>
    <w:link w:val="Heading1"/>
    <w:uiPriority w:val="9"/>
    <w:rsid w:val="00464C40"/>
    <w:rPr>
      <w:rFonts w:ascii="Tahoma" w:eastAsia="Times New Roman" w:hAnsi="Tahoma" w:cs="Times New Roman"/>
      <w:b/>
      <w:bCs/>
      <w:kern w:val="32"/>
      <w:sz w:val="28"/>
      <w:szCs w:val="32"/>
      <w:lang w:eastAsia="en-US"/>
    </w:rPr>
  </w:style>
  <w:style w:type="character" w:customStyle="1" w:styleId="Heading2Char">
    <w:name w:val="Heading 2 Char"/>
    <w:link w:val="Heading2"/>
    <w:uiPriority w:val="9"/>
    <w:rsid w:val="00E82433"/>
    <w:rPr>
      <w:rFonts w:ascii="Tahoma" w:eastAsia="Times New Roman" w:hAnsi="Tahoma"/>
      <w:bCs/>
      <w:iCs/>
      <w:sz w:val="22"/>
      <w:szCs w:val="28"/>
      <w:u w:val="single"/>
      <w:lang w:eastAsia="en-US"/>
    </w:rPr>
  </w:style>
  <w:style w:type="paragraph" w:customStyle="1" w:styleId="BodyText1">
    <w:name w:val="Body Text1"/>
    <w:qFormat/>
    <w:rsid w:val="00464C40"/>
    <w:pPr>
      <w:spacing w:after="180"/>
    </w:pPr>
    <w:rPr>
      <w:rFonts w:ascii="Tahoma" w:hAnsi="Tahoma"/>
      <w:szCs w:val="22"/>
      <w:lang w:eastAsia="en-US"/>
    </w:rPr>
  </w:style>
  <w:style w:type="paragraph" w:customStyle="1" w:styleId="Bodytextnormalbullet">
    <w:name w:val="Body text normal bullet"/>
    <w:qFormat/>
    <w:rsid w:val="00464C40"/>
    <w:pPr>
      <w:numPr>
        <w:numId w:val="14"/>
      </w:numPr>
      <w:spacing w:after="120"/>
      <w:ind w:left="714" w:hanging="357"/>
    </w:pPr>
    <w:rPr>
      <w:rFonts w:ascii="Tahoma" w:hAnsi="Tahoma"/>
      <w:szCs w:val="22"/>
      <w:lang w:eastAsia="en-US"/>
    </w:rPr>
  </w:style>
  <w:style w:type="paragraph" w:customStyle="1" w:styleId="Bodytextletterbullet">
    <w:name w:val="Body text letter bullet"/>
    <w:qFormat/>
    <w:rsid w:val="00464C40"/>
    <w:pPr>
      <w:numPr>
        <w:numId w:val="15"/>
      </w:numPr>
      <w:spacing w:after="120"/>
    </w:pPr>
    <w:rPr>
      <w:rFonts w:ascii="Tahoma" w:hAnsi="Tahoma"/>
      <w:szCs w:val="22"/>
      <w:lang w:eastAsia="en-US"/>
    </w:rPr>
  </w:style>
  <w:style w:type="paragraph" w:customStyle="1" w:styleId="bodytextarrowbullets">
    <w:name w:val="body text arrow bullets"/>
    <w:qFormat/>
    <w:rsid w:val="00464C40"/>
    <w:pPr>
      <w:numPr>
        <w:numId w:val="2"/>
      </w:numPr>
      <w:spacing w:after="120"/>
    </w:pPr>
    <w:rPr>
      <w:rFonts w:ascii="Tahoma" w:hAnsi="Tahoma" w:cs="Tahoma"/>
      <w:color w:val="000000"/>
      <w:szCs w:val="24"/>
      <w:lang w:eastAsia="en-US"/>
    </w:rPr>
  </w:style>
  <w:style w:type="paragraph" w:styleId="Header">
    <w:name w:val="header"/>
    <w:basedOn w:val="Normal"/>
    <w:link w:val="HeaderChar"/>
    <w:uiPriority w:val="99"/>
    <w:semiHidden/>
    <w:unhideWhenUsed/>
    <w:rsid w:val="00464C40"/>
    <w:pPr>
      <w:tabs>
        <w:tab w:val="center" w:pos="4513"/>
        <w:tab w:val="right" w:pos="9026"/>
      </w:tabs>
    </w:pPr>
  </w:style>
  <w:style w:type="character" w:customStyle="1" w:styleId="HeaderChar">
    <w:name w:val="Header Char"/>
    <w:link w:val="Header"/>
    <w:uiPriority w:val="99"/>
    <w:semiHidden/>
    <w:rsid w:val="00464C40"/>
    <w:rPr>
      <w:rFonts w:ascii="Tahoma" w:hAnsi="Tahoma"/>
      <w:szCs w:val="22"/>
      <w:lang w:eastAsia="en-US"/>
    </w:rPr>
  </w:style>
  <w:style w:type="paragraph" w:styleId="Footer">
    <w:name w:val="footer"/>
    <w:basedOn w:val="Normal"/>
    <w:link w:val="FooterChar"/>
    <w:uiPriority w:val="99"/>
    <w:unhideWhenUsed/>
    <w:rsid w:val="00464C40"/>
    <w:pPr>
      <w:tabs>
        <w:tab w:val="center" w:pos="4513"/>
        <w:tab w:val="right" w:pos="9026"/>
      </w:tabs>
    </w:pPr>
  </w:style>
  <w:style w:type="character" w:customStyle="1" w:styleId="FooterChar">
    <w:name w:val="Footer Char"/>
    <w:link w:val="Footer"/>
    <w:uiPriority w:val="99"/>
    <w:rsid w:val="00464C40"/>
    <w:rPr>
      <w:rFonts w:ascii="Tahoma" w:hAnsi="Tahoma"/>
      <w:szCs w:val="22"/>
      <w:lang w:eastAsia="en-US"/>
    </w:rPr>
  </w:style>
  <w:style w:type="table" w:styleId="TableGrid">
    <w:name w:val="Table Grid"/>
    <w:basedOn w:val="TableNormal"/>
    <w:uiPriority w:val="59"/>
    <w:rsid w:val="00464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F304B1"/>
    <w:rPr>
      <w:color w:val="800080"/>
      <w:u w:val="single"/>
    </w:rPr>
  </w:style>
  <w:style w:type="character" w:customStyle="1" w:styleId="ends2">
    <w:name w:val="ends2"/>
    <w:rsid w:val="007211D7"/>
    <w:rPr>
      <w:vanish w:val="0"/>
      <w:webHidden w:val="0"/>
      <w:specVanish w:val="0"/>
    </w:rPr>
  </w:style>
  <w:style w:type="paragraph" w:customStyle="1" w:styleId="Pa4">
    <w:name w:val="Pa4"/>
    <w:basedOn w:val="Normal"/>
    <w:next w:val="Normal"/>
    <w:uiPriority w:val="99"/>
    <w:rsid w:val="00D405C7"/>
    <w:pPr>
      <w:autoSpaceDE w:val="0"/>
      <w:autoSpaceDN w:val="0"/>
      <w:adjustRightInd w:val="0"/>
      <w:spacing w:line="241" w:lineRule="atLeast"/>
    </w:pPr>
    <w:rPr>
      <w:rFonts w:ascii="Bliss 2 Light" w:eastAsiaTheme="minorHAnsi" w:hAnsi="Bliss 2 Light" w:cstheme="minorBidi"/>
      <w:sz w:val="24"/>
      <w:szCs w:val="24"/>
    </w:rPr>
  </w:style>
  <w:style w:type="paragraph" w:customStyle="1" w:styleId="BodyText2">
    <w:name w:val="Body Text2"/>
    <w:qFormat/>
    <w:rsid w:val="009435EE"/>
    <w:pPr>
      <w:spacing w:after="180"/>
    </w:pPr>
    <w:rPr>
      <w:rFonts w:ascii="Tahoma" w:hAnsi="Tahoma"/>
      <w:szCs w:val="22"/>
      <w:lang w:eastAsia="en-US"/>
    </w:rPr>
  </w:style>
  <w:style w:type="paragraph" w:customStyle="1" w:styleId="subpara1">
    <w:name w:val="subpara1"/>
    <w:basedOn w:val="Normal"/>
    <w:rsid w:val="009435E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4230">
      <w:bodyDiv w:val="1"/>
      <w:marLeft w:val="0"/>
      <w:marRight w:val="0"/>
      <w:marTop w:val="0"/>
      <w:marBottom w:val="0"/>
      <w:divBdr>
        <w:top w:val="none" w:sz="0" w:space="0" w:color="auto"/>
        <w:left w:val="none" w:sz="0" w:space="0" w:color="auto"/>
        <w:bottom w:val="none" w:sz="0" w:space="0" w:color="auto"/>
        <w:right w:val="none" w:sz="0" w:space="0" w:color="auto"/>
      </w:divBdr>
    </w:div>
    <w:div w:id="134419381">
      <w:bodyDiv w:val="1"/>
      <w:marLeft w:val="0"/>
      <w:marRight w:val="0"/>
      <w:marTop w:val="0"/>
      <w:marBottom w:val="0"/>
      <w:divBdr>
        <w:top w:val="none" w:sz="0" w:space="0" w:color="auto"/>
        <w:left w:val="none" w:sz="0" w:space="0" w:color="auto"/>
        <w:bottom w:val="none" w:sz="0" w:space="0" w:color="auto"/>
        <w:right w:val="none" w:sz="0" w:space="0" w:color="auto"/>
      </w:divBdr>
    </w:div>
    <w:div w:id="233051473">
      <w:bodyDiv w:val="1"/>
      <w:marLeft w:val="0"/>
      <w:marRight w:val="0"/>
      <w:marTop w:val="0"/>
      <w:marBottom w:val="0"/>
      <w:divBdr>
        <w:top w:val="none" w:sz="0" w:space="0" w:color="auto"/>
        <w:left w:val="none" w:sz="0" w:space="0" w:color="auto"/>
        <w:bottom w:val="none" w:sz="0" w:space="0" w:color="auto"/>
        <w:right w:val="none" w:sz="0" w:space="0" w:color="auto"/>
      </w:divBdr>
    </w:div>
    <w:div w:id="385640541">
      <w:bodyDiv w:val="1"/>
      <w:marLeft w:val="0"/>
      <w:marRight w:val="0"/>
      <w:marTop w:val="0"/>
      <w:marBottom w:val="0"/>
      <w:divBdr>
        <w:top w:val="none" w:sz="0" w:space="0" w:color="auto"/>
        <w:left w:val="none" w:sz="0" w:space="0" w:color="auto"/>
        <w:bottom w:val="none" w:sz="0" w:space="0" w:color="auto"/>
        <w:right w:val="none" w:sz="0" w:space="0" w:color="auto"/>
      </w:divBdr>
    </w:div>
    <w:div w:id="448475959">
      <w:bodyDiv w:val="1"/>
      <w:marLeft w:val="0"/>
      <w:marRight w:val="0"/>
      <w:marTop w:val="0"/>
      <w:marBottom w:val="0"/>
      <w:divBdr>
        <w:top w:val="none" w:sz="0" w:space="0" w:color="auto"/>
        <w:left w:val="none" w:sz="0" w:space="0" w:color="auto"/>
        <w:bottom w:val="none" w:sz="0" w:space="0" w:color="auto"/>
        <w:right w:val="none" w:sz="0" w:space="0" w:color="auto"/>
      </w:divBdr>
    </w:div>
    <w:div w:id="461848646">
      <w:bodyDiv w:val="1"/>
      <w:marLeft w:val="0"/>
      <w:marRight w:val="0"/>
      <w:marTop w:val="0"/>
      <w:marBottom w:val="0"/>
      <w:divBdr>
        <w:top w:val="none" w:sz="0" w:space="0" w:color="auto"/>
        <w:left w:val="none" w:sz="0" w:space="0" w:color="auto"/>
        <w:bottom w:val="none" w:sz="0" w:space="0" w:color="auto"/>
        <w:right w:val="none" w:sz="0" w:space="0" w:color="auto"/>
      </w:divBdr>
    </w:div>
    <w:div w:id="639304145">
      <w:bodyDiv w:val="1"/>
      <w:marLeft w:val="0"/>
      <w:marRight w:val="0"/>
      <w:marTop w:val="0"/>
      <w:marBottom w:val="0"/>
      <w:divBdr>
        <w:top w:val="none" w:sz="0" w:space="0" w:color="auto"/>
        <w:left w:val="none" w:sz="0" w:space="0" w:color="auto"/>
        <w:bottom w:val="none" w:sz="0" w:space="0" w:color="auto"/>
        <w:right w:val="none" w:sz="0" w:space="0" w:color="auto"/>
      </w:divBdr>
    </w:div>
    <w:div w:id="817306238">
      <w:bodyDiv w:val="1"/>
      <w:marLeft w:val="0"/>
      <w:marRight w:val="0"/>
      <w:marTop w:val="0"/>
      <w:marBottom w:val="0"/>
      <w:divBdr>
        <w:top w:val="none" w:sz="0" w:space="0" w:color="auto"/>
        <w:left w:val="none" w:sz="0" w:space="0" w:color="auto"/>
        <w:bottom w:val="none" w:sz="0" w:space="0" w:color="auto"/>
        <w:right w:val="none" w:sz="0" w:space="0" w:color="auto"/>
      </w:divBdr>
    </w:div>
    <w:div w:id="1135443726">
      <w:bodyDiv w:val="1"/>
      <w:marLeft w:val="0"/>
      <w:marRight w:val="0"/>
      <w:marTop w:val="0"/>
      <w:marBottom w:val="0"/>
      <w:divBdr>
        <w:top w:val="none" w:sz="0" w:space="0" w:color="auto"/>
        <w:left w:val="none" w:sz="0" w:space="0" w:color="auto"/>
        <w:bottom w:val="none" w:sz="0" w:space="0" w:color="auto"/>
        <w:right w:val="none" w:sz="0" w:space="0" w:color="auto"/>
      </w:divBdr>
      <w:divsChild>
        <w:div w:id="1235311164">
          <w:marLeft w:val="0"/>
          <w:marRight w:val="0"/>
          <w:marTop w:val="0"/>
          <w:marBottom w:val="0"/>
          <w:divBdr>
            <w:top w:val="none" w:sz="0" w:space="0" w:color="auto"/>
            <w:left w:val="none" w:sz="0" w:space="0" w:color="auto"/>
            <w:bottom w:val="none" w:sz="0" w:space="0" w:color="auto"/>
            <w:right w:val="none" w:sz="0" w:space="0" w:color="auto"/>
          </w:divBdr>
          <w:divsChild>
            <w:div w:id="10678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0686">
      <w:bodyDiv w:val="1"/>
      <w:marLeft w:val="0"/>
      <w:marRight w:val="0"/>
      <w:marTop w:val="0"/>
      <w:marBottom w:val="0"/>
      <w:divBdr>
        <w:top w:val="none" w:sz="0" w:space="0" w:color="auto"/>
        <w:left w:val="none" w:sz="0" w:space="0" w:color="auto"/>
        <w:bottom w:val="none" w:sz="0" w:space="0" w:color="auto"/>
        <w:right w:val="none" w:sz="0" w:space="0" w:color="auto"/>
      </w:divBdr>
    </w:div>
    <w:div w:id="1179587470">
      <w:bodyDiv w:val="1"/>
      <w:marLeft w:val="0"/>
      <w:marRight w:val="0"/>
      <w:marTop w:val="0"/>
      <w:marBottom w:val="0"/>
      <w:divBdr>
        <w:top w:val="none" w:sz="0" w:space="0" w:color="auto"/>
        <w:left w:val="none" w:sz="0" w:space="0" w:color="auto"/>
        <w:bottom w:val="none" w:sz="0" w:space="0" w:color="auto"/>
        <w:right w:val="none" w:sz="0" w:space="0" w:color="auto"/>
      </w:divBdr>
    </w:div>
    <w:div w:id="1189948997">
      <w:bodyDiv w:val="1"/>
      <w:marLeft w:val="0"/>
      <w:marRight w:val="0"/>
      <w:marTop w:val="0"/>
      <w:marBottom w:val="0"/>
      <w:divBdr>
        <w:top w:val="none" w:sz="0" w:space="0" w:color="auto"/>
        <w:left w:val="none" w:sz="0" w:space="0" w:color="auto"/>
        <w:bottom w:val="none" w:sz="0" w:space="0" w:color="auto"/>
        <w:right w:val="none" w:sz="0" w:space="0" w:color="auto"/>
      </w:divBdr>
    </w:div>
    <w:div w:id="1296524757">
      <w:bodyDiv w:val="1"/>
      <w:marLeft w:val="0"/>
      <w:marRight w:val="0"/>
      <w:marTop w:val="0"/>
      <w:marBottom w:val="0"/>
      <w:divBdr>
        <w:top w:val="none" w:sz="0" w:space="0" w:color="auto"/>
        <w:left w:val="none" w:sz="0" w:space="0" w:color="auto"/>
        <w:bottom w:val="none" w:sz="0" w:space="0" w:color="auto"/>
        <w:right w:val="none" w:sz="0" w:space="0" w:color="auto"/>
      </w:divBdr>
      <w:divsChild>
        <w:div w:id="1756121765">
          <w:marLeft w:val="0"/>
          <w:marRight w:val="0"/>
          <w:marTop w:val="0"/>
          <w:marBottom w:val="0"/>
          <w:divBdr>
            <w:top w:val="none" w:sz="0" w:space="0" w:color="auto"/>
            <w:left w:val="none" w:sz="0" w:space="0" w:color="auto"/>
            <w:bottom w:val="none" w:sz="0" w:space="0" w:color="auto"/>
            <w:right w:val="none" w:sz="0" w:space="0" w:color="auto"/>
          </w:divBdr>
          <w:divsChild>
            <w:div w:id="1871064657">
              <w:marLeft w:val="0"/>
              <w:marRight w:val="0"/>
              <w:marTop w:val="0"/>
              <w:marBottom w:val="0"/>
              <w:divBdr>
                <w:top w:val="single" w:sz="2" w:space="0" w:color="FFFFFF"/>
                <w:left w:val="single" w:sz="6" w:space="0" w:color="FFFFFF"/>
                <w:bottom w:val="single" w:sz="6" w:space="0" w:color="FFFFFF"/>
                <w:right w:val="single" w:sz="6" w:space="0" w:color="FFFFFF"/>
              </w:divBdr>
              <w:divsChild>
                <w:div w:id="1740249716">
                  <w:marLeft w:val="0"/>
                  <w:marRight w:val="0"/>
                  <w:marTop w:val="0"/>
                  <w:marBottom w:val="0"/>
                  <w:divBdr>
                    <w:top w:val="single" w:sz="6" w:space="1" w:color="D3D3D3"/>
                    <w:left w:val="none" w:sz="0" w:space="0" w:color="auto"/>
                    <w:bottom w:val="none" w:sz="0" w:space="0" w:color="auto"/>
                    <w:right w:val="none" w:sz="0" w:space="0" w:color="auto"/>
                  </w:divBdr>
                  <w:divsChild>
                    <w:div w:id="1400325331">
                      <w:marLeft w:val="0"/>
                      <w:marRight w:val="0"/>
                      <w:marTop w:val="0"/>
                      <w:marBottom w:val="0"/>
                      <w:divBdr>
                        <w:top w:val="none" w:sz="0" w:space="0" w:color="auto"/>
                        <w:left w:val="none" w:sz="0" w:space="0" w:color="auto"/>
                        <w:bottom w:val="none" w:sz="0" w:space="0" w:color="auto"/>
                        <w:right w:val="none" w:sz="0" w:space="0" w:color="auto"/>
                      </w:divBdr>
                      <w:divsChild>
                        <w:div w:id="17839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489264">
      <w:bodyDiv w:val="1"/>
      <w:marLeft w:val="0"/>
      <w:marRight w:val="0"/>
      <w:marTop w:val="0"/>
      <w:marBottom w:val="0"/>
      <w:divBdr>
        <w:top w:val="none" w:sz="0" w:space="0" w:color="auto"/>
        <w:left w:val="none" w:sz="0" w:space="0" w:color="auto"/>
        <w:bottom w:val="none" w:sz="0" w:space="0" w:color="auto"/>
        <w:right w:val="none" w:sz="0" w:space="0" w:color="auto"/>
      </w:divBdr>
    </w:div>
    <w:div w:id="1517499761">
      <w:bodyDiv w:val="1"/>
      <w:marLeft w:val="0"/>
      <w:marRight w:val="0"/>
      <w:marTop w:val="0"/>
      <w:marBottom w:val="0"/>
      <w:divBdr>
        <w:top w:val="none" w:sz="0" w:space="0" w:color="auto"/>
        <w:left w:val="none" w:sz="0" w:space="0" w:color="auto"/>
        <w:bottom w:val="none" w:sz="0" w:space="0" w:color="auto"/>
        <w:right w:val="none" w:sz="0" w:space="0" w:color="auto"/>
      </w:divBdr>
    </w:div>
    <w:div w:id="1623611025">
      <w:bodyDiv w:val="1"/>
      <w:marLeft w:val="0"/>
      <w:marRight w:val="0"/>
      <w:marTop w:val="0"/>
      <w:marBottom w:val="0"/>
      <w:divBdr>
        <w:top w:val="none" w:sz="0" w:space="0" w:color="auto"/>
        <w:left w:val="none" w:sz="0" w:space="0" w:color="auto"/>
        <w:bottom w:val="none" w:sz="0" w:space="0" w:color="auto"/>
        <w:right w:val="none" w:sz="0" w:space="0" w:color="auto"/>
      </w:divBdr>
    </w:div>
    <w:div w:id="1674183878">
      <w:bodyDiv w:val="1"/>
      <w:marLeft w:val="0"/>
      <w:marRight w:val="0"/>
      <w:marTop w:val="0"/>
      <w:marBottom w:val="0"/>
      <w:divBdr>
        <w:top w:val="none" w:sz="0" w:space="0" w:color="auto"/>
        <w:left w:val="none" w:sz="0" w:space="0" w:color="auto"/>
        <w:bottom w:val="none" w:sz="0" w:space="0" w:color="auto"/>
        <w:right w:val="none" w:sz="0" w:space="0" w:color="auto"/>
      </w:divBdr>
    </w:div>
    <w:div w:id="1800370771">
      <w:bodyDiv w:val="1"/>
      <w:marLeft w:val="0"/>
      <w:marRight w:val="0"/>
      <w:marTop w:val="0"/>
      <w:marBottom w:val="0"/>
      <w:divBdr>
        <w:top w:val="none" w:sz="0" w:space="0" w:color="auto"/>
        <w:left w:val="none" w:sz="0" w:space="0" w:color="auto"/>
        <w:bottom w:val="none" w:sz="0" w:space="0" w:color="auto"/>
        <w:right w:val="none" w:sz="0" w:space="0" w:color="auto"/>
      </w:divBdr>
    </w:div>
    <w:div w:id="1897278904">
      <w:bodyDiv w:val="1"/>
      <w:marLeft w:val="0"/>
      <w:marRight w:val="0"/>
      <w:marTop w:val="0"/>
      <w:marBottom w:val="0"/>
      <w:divBdr>
        <w:top w:val="none" w:sz="0" w:space="0" w:color="auto"/>
        <w:left w:val="none" w:sz="0" w:space="0" w:color="auto"/>
        <w:bottom w:val="none" w:sz="0" w:space="0" w:color="auto"/>
        <w:right w:val="none" w:sz="0" w:space="0" w:color="auto"/>
      </w:divBdr>
    </w:div>
    <w:div w:id="1961523405">
      <w:bodyDiv w:val="1"/>
      <w:marLeft w:val="0"/>
      <w:marRight w:val="0"/>
      <w:marTop w:val="0"/>
      <w:marBottom w:val="0"/>
      <w:divBdr>
        <w:top w:val="none" w:sz="0" w:space="0" w:color="auto"/>
        <w:left w:val="none" w:sz="0" w:space="0" w:color="auto"/>
        <w:bottom w:val="none" w:sz="0" w:space="0" w:color="auto"/>
        <w:right w:val="none" w:sz="0" w:space="0" w:color="auto"/>
      </w:divBdr>
    </w:div>
    <w:div w:id="207087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sahandbook.info/FSA/glossary-html/handbook/Glossary/F?definition=G447" TargetMode="External"/><Relationship Id="rId3" Type="http://schemas.openxmlformats.org/officeDocument/2006/relationships/settings" Target="settings.xml"/><Relationship Id="rId7" Type="http://schemas.openxmlformats.org/officeDocument/2006/relationships/hyperlink" Target="http://fsahandbook.info/FSA/glossary-html/handbook/Glossary/F?definition=G4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1716</Words>
  <Characters>9783</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XXX</vt:lpstr>
    </vt:vector>
  </TitlesOfParts>
  <Company>Cobra Network</Company>
  <LinksUpToDate>false</LinksUpToDate>
  <CharactersWithSpaces>11477</CharactersWithSpaces>
  <SharedDoc>false</SharedDoc>
  <HLinks>
    <vt:vector size="18" baseType="variant">
      <vt:variant>
        <vt:i4>5570654</vt:i4>
      </vt:variant>
      <vt:variant>
        <vt:i4>6</vt:i4>
      </vt:variant>
      <vt:variant>
        <vt:i4>0</vt:i4>
      </vt:variant>
      <vt:variant>
        <vt:i4>5</vt:i4>
      </vt:variant>
      <vt:variant>
        <vt:lpwstr>http://fsahandbook.info/FSA/glossary-html/handbook/Glossary/F?definition=G447</vt:lpwstr>
      </vt:variant>
      <vt:variant>
        <vt:lpwstr/>
      </vt:variant>
      <vt:variant>
        <vt:i4>5374046</vt:i4>
      </vt:variant>
      <vt:variant>
        <vt:i4>3</vt:i4>
      </vt:variant>
      <vt:variant>
        <vt:i4>0</vt:i4>
      </vt:variant>
      <vt:variant>
        <vt:i4>5</vt:i4>
      </vt:variant>
      <vt:variant>
        <vt:lpwstr>http://fsahandbook.info/FSA/glossary-html/handbook/Glossary/F?definition=G430</vt:lpwstr>
      </vt:variant>
      <vt:variant>
        <vt:lpwstr/>
      </vt:variant>
      <vt:variant>
        <vt:i4>7209078</vt:i4>
      </vt:variant>
      <vt:variant>
        <vt:i4>0</vt:i4>
      </vt:variant>
      <vt:variant>
        <vt:i4>0</vt:i4>
      </vt:variant>
      <vt:variant>
        <vt:i4>5</vt:i4>
      </vt:variant>
      <vt:variant>
        <vt:lpwstr>http://www.transparency.org/policy_research/surveys_indices/cpi/2009/cpi_2009_table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dc:title>
  <dc:subject/>
  <dc:creator>Jenny Soper</dc:creator>
  <cp:keywords/>
  <cp:lastModifiedBy>Jennifer Perry</cp:lastModifiedBy>
  <cp:revision>2</cp:revision>
  <cp:lastPrinted>2011-01-03T10:46:00Z</cp:lastPrinted>
  <dcterms:created xsi:type="dcterms:W3CDTF">2023-03-23T13:35:00Z</dcterms:created>
  <dcterms:modified xsi:type="dcterms:W3CDTF">2023-03-23T13:35:00Z</dcterms:modified>
</cp:coreProperties>
</file>